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480" w:type="dxa"/>
        <w:tblInd w:w="209" w:type="dxa"/>
        <w:tblLayout w:type="fixed"/>
        <w:tblCellMar>
          <w:left w:w="0" w:type="dxa"/>
          <w:right w:w="0" w:type="dxa"/>
        </w:tblCellMar>
        <w:tblLook w:val="04A0" w:firstRow="1" w:lastRow="0" w:firstColumn="1" w:lastColumn="0" w:noHBand="0" w:noVBand="1"/>
      </w:tblPr>
      <w:tblGrid>
        <w:gridCol w:w="1058"/>
        <w:gridCol w:w="1993"/>
        <w:gridCol w:w="2803"/>
        <w:gridCol w:w="438"/>
        <w:gridCol w:w="3188"/>
      </w:tblGrid>
      <w:tr w:rsidR="001B0431" w:rsidRPr="005B1A56" w14:paraId="483B6267" w14:textId="77777777">
        <w:trPr>
          <w:trHeight w:val="300"/>
        </w:trPr>
        <w:tc>
          <w:tcPr>
            <w:tcW w:w="3051" w:type="dxa"/>
            <w:gridSpan w:val="2"/>
            <w:tcBorders>
              <w:top w:val="nil"/>
              <w:left w:val="nil"/>
              <w:bottom w:val="double" w:sz="24" w:space="0" w:color="000000"/>
              <w:right w:val="nil"/>
            </w:tcBorders>
            <w:tcMar>
              <w:left w:w="108" w:type="dxa"/>
              <w:right w:w="108" w:type="dxa"/>
            </w:tcMar>
          </w:tcPr>
          <w:p w14:paraId="681058C7" w14:textId="77777777" w:rsidR="001B0431" w:rsidRPr="005B1A56" w:rsidRDefault="002A7BC7">
            <w:pPr>
              <w:spacing w:line="100" w:lineRule="atLeast"/>
              <w:rPr>
                <w:rFonts w:ascii="Bookman Old Style" w:hAnsi="Bookman Old Style"/>
                <w:b/>
                <w:caps/>
                <w:color w:val="000000"/>
                <w:sz w:val="24"/>
                <w:szCs w:val="24"/>
                <w:lang w:eastAsia="ar-SA"/>
              </w:rPr>
            </w:pPr>
            <w:r w:rsidRPr="005B1A56">
              <w:rPr>
                <w:rFonts w:ascii="Bookman Old Style" w:hAnsi="Bookman Old Style"/>
                <w:b/>
                <w:caps/>
                <w:color w:val="000000"/>
                <w:sz w:val="24"/>
                <w:szCs w:val="24"/>
                <w:lang w:eastAsia="ar-SA"/>
              </w:rPr>
              <w:t>STATE OF WISCONSIN</w:t>
            </w:r>
          </w:p>
          <w:p w14:paraId="562AAB06" w14:textId="77777777" w:rsidR="001B0431" w:rsidRPr="005B1A56" w:rsidRDefault="001B0431">
            <w:pPr>
              <w:spacing w:line="100" w:lineRule="atLeast"/>
              <w:rPr>
                <w:rFonts w:ascii="Bookman Old Style" w:hAnsi="Bookman Old Style"/>
                <w:b/>
                <w:caps/>
                <w:color w:val="000000"/>
                <w:sz w:val="24"/>
                <w:szCs w:val="24"/>
                <w:lang w:eastAsia="ar-SA"/>
              </w:rPr>
            </w:pPr>
          </w:p>
          <w:p w14:paraId="3DEFF220" w14:textId="77777777" w:rsidR="001B0431" w:rsidRPr="005B1A56" w:rsidRDefault="001B0431">
            <w:pPr>
              <w:spacing w:line="100" w:lineRule="atLeast"/>
              <w:rPr>
                <w:rFonts w:ascii="Bookman Old Style" w:hAnsi="Bookman Old Style"/>
                <w:b/>
                <w:caps/>
                <w:color w:val="000000"/>
                <w:sz w:val="24"/>
                <w:szCs w:val="24"/>
                <w:lang w:eastAsia="ar-SA"/>
              </w:rPr>
            </w:pPr>
          </w:p>
        </w:tc>
        <w:tc>
          <w:tcPr>
            <w:tcW w:w="3241" w:type="dxa"/>
            <w:gridSpan w:val="2"/>
            <w:tcBorders>
              <w:top w:val="nil"/>
              <w:left w:val="nil"/>
              <w:bottom w:val="double" w:sz="24" w:space="0" w:color="000000"/>
              <w:right w:val="nil"/>
            </w:tcBorders>
            <w:tcMar>
              <w:left w:w="108" w:type="dxa"/>
              <w:right w:w="108" w:type="dxa"/>
            </w:tcMar>
          </w:tcPr>
          <w:p w14:paraId="39289383" w14:textId="77777777" w:rsidR="001B0431" w:rsidRPr="005B1A56" w:rsidRDefault="002A7BC7">
            <w:pPr>
              <w:spacing w:line="100" w:lineRule="atLeast"/>
              <w:jc w:val="center"/>
              <w:rPr>
                <w:rFonts w:ascii="Bookman Old Style" w:hAnsi="Bookman Old Style"/>
                <w:b/>
                <w:caps/>
                <w:color w:val="000000"/>
                <w:sz w:val="24"/>
                <w:szCs w:val="24"/>
                <w:lang w:eastAsia="ar-SA"/>
              </w:rPr>
            </w:pPr>
            <w:r w:rsidRPr="005B1A56">
              <w:rPr>
                <w:rFonts w:ascii="Bookman Old Style" w:hAnsi="Bookman Old Style"/>
                <w:b/>
                <w:caps/>
                <w:color w:val="000000"/>
                <w:sz w:val="24"/>
                <w:szCs w:val="24"/>
                <w:lang w:eastAsia="ar-SA"/>
              </w:rPr>
              <w:t>CIRCUIT COURT</w:t>
            </w:r>
            <w:r w:rsidRPr="005B1A56">
              <w:rPr>
                <w:rFonts w:ascii="Bookman Old Style" w:hAnsi="Bookman Old Style"/>
                <w:b/>
                <w:caps/>
                <w:color w:val="000000"/>
                <w:sz w:val="24"/>
                <w:szCs w:val="24"/>
                <w:lang w:eastAsia="ar-SA"/>
              </w:rPr>
              <w:br/>
              <w:t>Branch 12</w:t>
            </w:r>
          </w:p>
        </w:tc>
        <w:tc>
          <w:tcPr>
            <w:tcW w:w="3188" w:type="dxa"/>
            <w:tcBorders>
              <w:top w:val="nil"/>
              <w:left w:val="nil"/>
              <w:bottom w:val="double" w:sz="24" w:space="0" w:color="000000"/>
              <w:right w:val="nil"/>
            </w:tcBorders>
            <w:tcMar>
              <w:left w:w="108" w:type="dxa"/>
              <w:right w:w="108" w:type="dxa"/>
            </w:tcMar>
          </w:tcPr>
          <w:p w14:paraId="64AFD2EB" w14:textId="77777777" w:rsidR="001B0431" w:rsidRPr="005B1A56" w:rsidRDefault="002A7BC7">
            <w:pPr>
              <w:spacing w:line="100" w:lineRule="atLeast"/>
              <w:jc w:val="right"/>
              <w:rPr>
                <w:rFonts w:ascii="Bookman Old Style" w:hAnsi="Bookman Old Style"/>
                <w:sz w:val="24"/>
                <w:szCs w:val="24"/>
                <w:lang w:eastAsia="ar-SA"/>
              </w:rPr>
            </w:pPr>
            <w:r w:rsidRPr="005B1A56">
              <w:rPr>
                <w:rFonts w:ascii="Bookman Old Style" w:hAnsi="Bookman Old Style"/>
                <w:b/>
                <w:caps/>
                <w:color w:val="000000"/>
                <w:sz w:val="24"/>
                <w:szCs w:val="24"/>
                <w:lang w:eastAsia="ar-SA"/>
              </w:rPr>
              <w:t>Dane COUNTY</w:t>
            </w:r>
          </w:p>
        </w:tc>
      </w:tr>
      <w:tr w:rsidR="001B0431" w:rsidRPr="005B1A56" w14:paraId="10B84720" w14:textId="77777777">
        <w:trPr>
          <w:trHeight w:val="300"/>
        </w:trPr>
        <w:tc>
          <w:tcPr>
            <w:tcW w:w="5854" w:type="dxa"/>
            <w:gridSpan w:val="3"/>
            <w:tcBorders>
              <w:top w:val="double" w:sz="24" w:space="0" w:color="000000"/>
              <w:left w:val="nil"/>
              <w:bottom w:val="nil"/>
              <w:right w:val="nil"/>
            </w:tcBorders>
            <w:tcMar>
              <w:left w:w="108" w:type="dxa"/>
              <w:right w:w="108" w:type="dxa"/>
            </w:tcMar>
            <w:vAlign w:val="bottom"/>
          </w:tcPr>
          <w:p w14:paraId="293AEBE0" w14:textId="77777777" w:rsidR="001B0431" w:rsidRPr="005B1A56" w:rsidRDefault="002A7BC7">
            <w:pPr>
              <w:spacing w:line="100" w:lineRule="atLeast"/>
              <w:rPr>
                <w:rFonts w:ascii="Bookman Old Style" w:hAnsi="Bookman Old Style"/>
                <w:b/>
                <w:caps/>
                <w:color w:val="000000"/>
                <w:sz w:val="24"/>
                <w:szCs w:val="24"/>
                <w:lang w:eastAsia="ar-SA"/>
              </w:rPr>
            </w:pPr>
            <w:r w:rsidRPr="005B1A56">
              <w:rPr>
                <w:rFonts w:ascii="Bookman Old Style" w:hAnsi="Bookman Old Style"/>
                <w:b/>
                <w:caps/>
                <w:color w:val="000000"/>
                <w:sz w:val="24"/>
                <w:szCs w:val="24"/>
                <w:lang w:eastAsia="ar-SA"/>
              </w:rPr>
              <w:t>STATE OF WISCONSIN</w:t>
            </w:r>
          </w:p>
        </w:tc>
        <w:tc>
          <w:tcPr>
            <w:tcW w:w="3626" w:type="dxa"/>
            <w:gridSpan w:val="2"/>
            <w:tcBorders>
              <w:top w:val="double" w:sz="24" w:space="0" w:color="000000"/>
              <w:left w:val="nil"/>
              <w:bottom w:val="nil"/>
              <w:right w:val="nil"/>
            </w:tcBorders>
            <w:tcMar>
              <w:left w:w="108" w:type="dxa"/>
              <w:right w:w="108" w:type="dxa"/>
            </w:tcMar>
            <w:vAlign w:val="bottom"/>
          </w:tcPr>
          <w:p w14:paraId="5477BDC6" w14:textId="77777777" w:rsidR="001B0431" w:rsidRPr="005B1A56" w:rsidRDefault="001B0431">
            <w:pPr>
              <w:spacing w:line="100" w:lineRule="atLeast"/>
              <w:rPr>
                <w:rFonts w:ascii="Bookman Old Style" w:hAnsi="Bookman Old Style"/>
                <w:b/>
                <w:caps/>
                <w:color w:val="000000"/>
                <w:sz w:val="24"/>
                <w:szCs w:val="24"/>
                <w:lang w:eastAsia="ar-SA"/>
              </w:rPr>
            </w:pPr>
          </w:p>
        </w:tc>
      </w:tr>
      <w:tr w:rsidR="001B0431" w:rsidRPr="005B1A56" w14:paraId="7ED52B73" w14:textId="77777777">
        <w:trPr>
          <w:trHeight w:val="300"/>
        </w:trPr>
        <w:tc>
          <w:tcPr>
            <w:tcW w:w="1058" w:type="dxa"/>
            <w:tcMar>
              <w:left w:w="108" w:type="dxa"/>
              <w:right w:w="108" w:type="dxa"/>
            </w:tcMar>
            <w:vAlign w:val="bottom"/>
          </w:tcPr>
          <w:p w14:paraId="088D4336" w14:textId="77777777" w:rsidR="001B0431" w:rsidRPr="005B1A56" w:rsidRDefault="001B0431">
            <w:pPr>
              <w:spacing w:line="100" w:lineRule="atLeast"/>
              <w:rPr>
                <w:rFonts w:ascii="Bookman Old Style" w:hAnsi="Bookman Old Style"/>
                <w:b/>
                <w:caps/>
                <w:color w:val="000000"/>
                <w:sz w:val="24"/>
                <w:szCs w:val="24"/>
                <w:lang w:eastAsia="ar-SA"/>
              </w:rPr>
            </w:pPr>
          </w:p>
        </w:tc>
        <w:tc>
          <w:tcPr>
            <w:tcW w:w="4796" w:type="dxa"/>
            <w:gridSpan w:val="2"/>
            <w:tcMar>
              <w:left w:w="108" w:type="dxa"/>
              <w:right w:w="108" w:type="dxa"/>
            </w:tcMar>
            <w:vAlign w:val="bottom"/>
          </w:tcPr>
          <w:p w14:paraId="2E582504" w14:textId="77777777" w:rsidR="001B0431" w:rsidRPr="005B1A56" w:rsidRDefault="001B0431">
            <w:pPr>
              <w:spacing w:line="100" w:lineRule="atLeast"/>
              <w:rPr>
                <w:rFonts w:ascii="Bookman Old Style" w:hAnsi="Bookman Old Style"/>
                <w:b/>
                <w:caps/>
                <w:color w:val="000000"/>
                <w:sz w:val="24"/>
                <w:szCs w:val="24"/>
                <w:lang w:eastAsia="ar-SA"/>
              </w:rPr>
            </w:pPr>
          </w:p>
        </w:tc>
        <w:tc>
          <w:tcPr>
            <w:tcW w:w="3626" w:type="dxa"/>
            <w:gridSpan w:val="2"/>
            <w:tcMar>
              <w:left w:w="108" w:type="dxa"/>
              <w:right w:w="108" w:type="dxa"/>
            </w:tcMar>
            <w:vAlign w:val="bottom"/>
          </w:tcPr>
          <w:p w14:paraId="0690DF5A" w14:textId="77777777" w:rsidR="001B0431" w:rsidRPr="005B1A56" w:rsidRDefault="001B0431">
            <w:pPr>
              <w:spacing w:line="100" w:lineRule="atLeast"/>
              <w:rPr>
                <w:rFonts w:ascii="Bookman Old Style" w:hAnsi="Bookman Old Style"/>
                <w:b/>
                <w:caps/>
                <w:color w:val="000000"/>
                <w:sz w:val="24"/>
                <w:szCs w:val="24"/>
                <w:lang w:eastAsia="ar-SA"/>
              </w:rPr>
            </w:pPr>
          </w:p>
        </w:tc>
      </w:tr>
      <w:tr w:rsidR="001B0431" w:rsidRPr="005B1A56" w14:paraId="3065C952" w14:textId="77777777">
        <w:trPr>
          <w:trHeight w:val="300"/>
        </w:trPr>
        <w:tc>
          <w:tcPr>
            <w:tcW w:w="1058" w:type="dxa"/>
            <w:tcMar>
              <w:left w:w="108" w:type="dxa"/>
              <w:right w:w="108" w:type="dxa"/>
            </w:tcMar>
            <w:vAlign w:val="bottom"/>
          </w:tcPr>
          <w:p w14:paraId="52F0DDFA" w14:textId="77777777" w:rsidR="001B0431" w:rsidRPr="005B1A56" w:rsidRDefault="001B0431">
            <w:pPr>
              <w:spacing w:line="100" w:lineRule="atLeast"/>
              <w:rPr>
                <w:rFonts w:ascii="Bookman Old Style" w:hAnsi="Bookman Old Style"/>
                <w:b/>
                <w:caps/>
                <w:color w:val="000000"/>
                <w:sz w:val="24"/>
                <w:szCs w:val="24"/>
                <w:lang w:eastAsia="ar-SA"/>
              </w:rPr>
            </w:pPr>
          </w:p>
        </w:tc>
        <w:tc>
          <w:tcPr>
            <w:tcW w:w="4796" w:type="dxa"/>
            <w:gridSpan w:val="2"/>
            <w:tcMar>
              <w:left w:w="108" w:type="dxa"/>
              <w:right w:w="108" w:type="dxa"/>
            </w:tcMar>
            <w:vAlign w:val="bottom"/>
          </w:tcPr>
          <w:p w14:paraId="7D809BC1" w14:textId="77777777" w:rsidR="001B0431" w:rsidRPr="005B1A56" w:rsidRDefault="002A7BC7">
            <w:pPr>
              <w:spacing w:line="100" w:lineRule="atLeast"/>
              <w:rPr>
                <w:rFonts w:ascii="Bookman Old Style" w:hAnsi="Bookman Old Style"/>
                <w:b/>
                <w:caps/>
                <w:color w:val="000000"/>
                <w:sz w:val="24"/>
                <w:szCs w:val="24"/>
                <w:lang w:eastAsia="ar-SA"/>
              </w:rPr>
            </w:pPr>
            <w:r w:rsidRPr="005B1A56">
              <w:rPr>
                <w:rFonts w:ascii="Bookman Old Style" w:hAnsi="Bookman Old Style"/>
                <w:b/>
                <w:caps/>
                <w:color w:val="000000"/>
                <w:sz w:val="24"/>
                <w:szCs w:val="24"/>
                <w:lang w:eastAsia="ar-SA"/>
              </w:rPr>
              <w:t>PLAINTIFF,</w:t>
            </w:r>
          </w:p>
          <w:p w14:paraId="49E43672" w14:textId="77777777" w:rsidR="001B0431" w:rsidRPr="005B1A56" w:rsidRDefault="001B0431">
            <w:pPr>
              <w:spacing w:line="100" w:lineRule="atLeast"/>
              <w:rPr>
                <w:rFonts w:ascii="Bookman Old Style" w:hAnsi="Bookman Old Style"/>
                <w:b/>
                <w:caps/>
                <w:color w:val="000000"/>
                <w:sz w:val="24"/>
                <w:szCs w:val="24"/>
                <w:lang w:eastAsia="ar-SA"/>
              </w:rPr>
            </w:pPr>
          </w:p>
        </w:tc>
        <w:tc>
          <w:tcPr>
            <w:tcW w:w="3626" w:type="dxa"/>
            <w:gridSpan w:val="2"/>
            <w:tcMar>
              <w:left w:w="108" w:type="dxa"/>
              <w:right w:w="108" w:type="dxa"/>
            </w:tcMar>
            <w:vAlign w:val="bottom"/>
          </w:tcPr>
          <w:p w14:paraId="53098CA7" w14:textId="77777777" w:rsidR="001B0431" w:rsidRPr="005B1A56" w:rsidRDefault="001B0431">
            <w:pPr>
              <w:spacing w:line="100" w:lineRule="atLeast"/>
              <w:rPr>
                <w:rFonts w:ascii="Bookman Old Style" w:hAnsi="Bookman Old Style"/>
                <w:b/>
                <w:caps/>
                <w:color w:val="000000"/>
                <w:sz w:val="24"/>
                <w:szCs w:val="24"/>
                <w:lang w:eastAsia="ar-SA"/>
              </w:rPr>
            </w:pPr>
          </w:p>
        </w:tc>
      </w:tr>
      <w:tr w:rsidR="001B0431" w:rsidRPr="005B1A56" w14:paraId="6E8F0CCF" w14:textId="77777777">
        <w:trPr>
          <w:trHeight w:val="300"/>
        </w:trPr>
        <w:tc>
          <w:tcPr>
            <w:tcW w:w="1058" w:type="dxa"/>
            <w:tcMar>
              <w:left w:w="108" w:type="dxa"/>
              <w:right w:w="108" w:type="dxa"/>
            </w:tcMar>
            <w:vAlign w:val="bottom"/>
          </w:tcPr>
          <w:p w14:paraId="4BE922C9" w14:textId="77777777" w:rsidR="001B0431" w:rsidRPr="005B1A56" w:rsidRDefault="002A7BC7">
            <w:pPr>
              <w:spacing w:line="100" w:lineRule="atLeast"/>
              <w:jc w:val="center"/>
              <w:rPr>
                <w:rFonts w:ascii="Bookman Old Style" w:hAnsi="Bookman Old Style"/>
                <w:b/>
                <w:caps/>
                <w:color w:val="000000"/>
                <w:sz w:val="24"/>
                <w:szCs w:val="24"/>
                <w:lang w:eastAsia="ar-SA"/>
              </w:rPr>
            </w:pPr>
            <w:r w:rsidRPr="005B1A56">
              <w:rPr>
                <w:rFonts w:ascii="Bookman Old Style" w:hAnsi="Bookman Old Style"/>
                <w:b/>
                <w:caps/>
                <w:color w:val="000000"/>
                <w:sz w:val="24"/>
                <w:szCs w:val="24"/>
                <w:lang w:eastAsia="ar-SA"/>
              </w:rPr>
              <w:t>VS.</w:t>
            </w:r>
          </w:p>
        </w:tc>
        <w:tc>
          <w:tcPr>
            <w:tcW w:w="8422" w:type="dxa"/>
            <w:gridSpan w:val="4"/>
            <w:tcMar>
              <w:left w:w="108" w:type="dxa"/>
              <w:right w:w="108" w:type="dxa"/>
            </w:tcMar>
            <w:vAlign w:val="bottom"/>
          </w:tcPr>
          <w:p w14:paraId="49E8443F" w14:textId="77777777" w:rsidR="001B0431" w:rsidRPr="005B1A56" w:rsidRDefault="002A7BC7">
            <w:pPr>
              <w:spacing w:line="100" w:lineRule="atLeast"/>
              <w:jc w:val="center"/>
              <w:rPr>
                <w:rFonts w:ascii="Bookman Old Style" w:hAnsi="Bookman Old Style"/>
                <w:sz w:val="24"/>
                <w:szCs w:val="24"/>
                <w:lang w:eastAsia="ar-SA"/>
              </w:rPr>
            </w:pPr>
            <w:r w:rsidRPr="005B1A56">
              <w:rPr>
                <w:rFonts w:ascii="Bookman Old Style" w:hAnsi="Bookman Old Style"/>
                <w:b/>
                <w:caps/>
                <w:color w:val="000000"/>
                <w:sz w:val="24"/>
                <w:szCs w:val="24"/>
                <w:lang w:eastAsia="ar-SA"/>
              </w:rPr>
              <w:t>CASE NO. 19CF1228</w:t>
            </w:r>
          </w:p>
        </w:tc>
      </w:tr>
      <w:tr w:rsidR="001B0431" w:rsidRPr="005B1A56" w14:paraId="4A7A232A" w14:textId="77777777">
        <w:trPr>
          <w:trHeight w:val="300"/>
        </w:trPr>
        <w:tc>
          <w:tcPr>
            <w:tcW w:w="1058" w:type="dxa"/>
            <w:tcMar>
              <w:left w:w="108" w:type="dxa"/>
              <w:right w:w="108" w:type="dxa"/>
            </w:tcMar>
            <w:vAlign w:val="bottom"/>
          </w:tcPr>
          <w:p w14:paraId="00EB5EEF" w14:textId="77777777" w:rsidR="001B0431" w:rsidRPr="005B1A56" w:rsidRDefault="001B0431">
            <w:pPr>
              <w:spacing w:line="100" w:lineRule="atLeast"/>
              <w:rPr>
                <w:rFonts w:ascii="Bookman Old Style" w:hAnsi="Bookman Old Style"/>
                <w:b/>
                <w:caps/>
                <w:color w:val="000000"/>
                <w:sz w:val="24"/>
                <w:szCs w:val="24"/>
                <w:lang w:eastAsia="ar-SA"/>
              </w:rPr>
            </w:pPr>
          </w:p>
        </w:tc>
        <w:tc>
          <w:tcPr>
            <w:tcW w:w="4796" w:type="dxa"/>
            <w:gridSpan w:val="2"/>
            <w:tcMar>
              <w:left w:w="108" w:type="dxa"/>
              <w:right w:w="108" w:type="dxa"/>
            </w:tcMar>
            <w:vAlign w:val="bottom"/>
          </w:tcPr>
          <w:p w14:paraId="60A5A281" w14:textId="77777777" w:rsidR="001B0431" w:rsidRPr="005B1A56" w:rsidRDefault="001B0431">
            <w:pPr>
              <w:spacing w:line="100" w:lineRule="atLeast"/>
              <w:rPr>
                <w:rFonts w:ascii="Bookman Old Style" w:hAnsi="Bookman Old Style"/>
                <w:b/>
                <w:caps/>
                <w:color w:val="000000"/>
                <w:sz w:val="24"/>
                <w:szCs w:val="24"/>
                <w:lang w:eastAsia="ar-SA"/>
              </w:rPr>
            </w:pPr>
          </w:p>
        </w:tc>
        <w:tc>
          <w:tcPr>
            <w:tcW w:w="3626" w:type="dxa"/>
            <w:gridSpan w:val="2"/>
            <w:tcMar>
              <w:left w:w="108" w:type="dxa"/>
              <w:right w:w="108" w:type="dxa"/>
            </w:tcMar>
            <w:vAlign w:val="bottom"/>
          </w:tcPr>
          <w:p w14:paraId="4D582B18" w14:textId="77777777" w:rsidR="001B0431" w:rsidRPr="005B1A56" w:rsidRDefault="001B0431">
            <w:pPr>
              <w:spacing w:line="100" w:lineRule="atLeast"/>
              <w:rPr>
                <w:rFonts w:ascii="Bookman Old Style" w:hAnsi="Bookman Old Style"/>
                <w:b/>
                <w:caps/>
                <w:color w:val="000000"/>
                <w:sz w:val="24"/>
                <w:szCs w:val="24"/>
                <w:lang w:eastAsia="ar-SA"/>
              </w:rPr>
            </w:pPr>
          </w:p>
        </w:tc>
      </w:tr>
      <w:tr w:rsidR="001B0431" w:rsidRPr="005B1A56" w14:paraId="0212E129" w14:textId="77777777">
        <w:trPr>
          <w:trHeight w:val="300"/>
        </w:trPr>
        <w:tc>
          <w:tcPr>
            <w:tcW w:w="5854" w:type="dxa"/>
            <w:gridSpan w:val="3"/>
            <w:tcMar>
              <w:left w:w="108" w:type="dxa"/>
              <w:right w:w="108" w:type="dxa"/>
            </w:tcMar>
            <w:vAlign w:val="bottom"/>
          </w:tcPr>
          <w:p w14:paraId="4AA3EE3B" w14:textId="77777777" w:rsidR="001B0431" w:rsidRPr="005B1A56" w:rsidRDefault="002A7BC7">
            <w:pPr>
              <w:spacing w:line="100" w:lineRule="atLeast"/>
              <w:rPr>
                <w:rFonts w:ascii="Bookman Old Style" w:hAnsi="Bookman Old Style"/>
                <w:b/>
                <w:caps/>
                <w:color w:val="000000"/>
                <w:sz w:val="24"/>
                <w:szCs w:val="24"/>
                <w:lang w:eastAsia="ar-SA"/>
              </w:rPr>
            </w:pPr>
            <w:r w:rsidRPr="005B1A56">
              <w:rPr>
                <w:rFonts w:ascii="Bookman Old Style" w:hAnsi="Bookman Old Style"/>
                <w:b/>
                <w:caps/>
                <w:color w:val="000000"/>
                <w:sz w:val="24"/>
                <w:szCs w:val="24"/>
                <w:lang w:eastAsia="ar-SA"/>
              </w:rPr>
              <w:t>Jesse R. Schworck,</w:t>
            </w:r>
          </w:p>
          <w:p w14:paraId="0DF71D76" w14:textId="77777777" w:rsidR="001B0431" w:rsidRPr="005B1A56" w:rsidRDefault="001B0431">
            <w:pPr>
              <w:spacing w:line="100" w:lineRule="atLeast"/>
              <w:rPr>
                <w:rFonts w:ascii="Bookman Old Style" w:hAnsi="Bookman Old Style"/>
                <w:b/>
                <w:caps/>
                <w:color w:val="000000"/>
                <w:sz w:val="24"/>
                <w:szCs w:val="24"/>
                <w:lang w:eastAsia="ar-SA"/>
              </w:rPr>
            </w:pPr>
          </w:p>
        </w:tc>
        <w:tc>
          <w:tcPr>
            <w:tcW w:w="3626" w:type="dxa"/>
            <w:gridSpan w:val="2"/>
            <w:tcMar>
              <w:left w:w="108" w:type="dxa"/>
              <w:right w:w="108" w:type="dxa"/>
            </w:tcMar>
            <w:vAlign w:val="bottom"/>
          </w:tcPr>
          <w:p w14:paraId="5C31EB0B" w14:textId="77777777" w:rsidR="001B0431" w:rsidRPr="005B1A56" w:rsidRDefault="001B0431">
            <w:pPr>
              <w:spacing w:line="100" w:lineRule="atLeast"/>
              <w:rPr>
                <w:rFonts w:ascii="Bookman Old Style" w:hAnsi="Bookman Old Style"/>
                <w:b/>
                <w:caps/>
                <w:color w:val="000000"/>
                <w:sz w:val="24"/>
                <w:szCs w:val="24"/>
                <w:lang w:eastAsia="ar-SA"/>
              </w:rPr>
            </w:pPr>
          </w:p>
        </w:tc>
      </w:tr>
      <w:tr w:rsidR="001B0431" w:rsidRPr="005B1A56" w14:paraId="1010E226" w14:textId="77777777">
        <w:trPr>
          <w:trHeight w:val="300"/>
        </w:trPr>
        <w:tc>
          <w:tcPr>
            <w:tcW w:w="1058" w:type="dxa"/>
            <w:tcMar>
              <w:left w:w="108" w:type="dxa"/>
              <w:right w:w="108" w:type="dxa"/>
            </w:tcMar>
            <w:vAlign w:val="bottom"/>
          </w:tcPr>
          <w:p w14:paraId="2954A568" w14:textId="77777777" w:rsidR="001B0431" w:rsidRPr="005B1A56" w:rsidRDefault="001B0431">
            <w:pPr>
              <w:spacing w:line="100" w:lineRule="atLeast"/>
              <w:rPr>
                <w:rFonts w:ascii="Bookman Old Style" w:hAnsi="Bookman Old Style"/>
                <w:b/>
                <w:caps/>
                <w:color w:val="000000"/>
                <w:sz w:val="24"/>
                <w:szCs w:val="24"/>
                <w:lang w:eastAsia="ar-SA"/>
              </w:rPr>
            </w:pPr>
          </w:p>
        </w:tc>
        <w:tc>
          <w:tcPr>
            <w:tcW w:w="4796" w:type="dxa"/>
            <w:gridSpan w:val="2"/>
            <w:tcMar>
              <w:left w:w="108" w:type="dxa"/>
              <w:right w:w="108" w:type="dxa"/>
            </w:tcMar>
            <w:vAlign w:val="bottom"/>
          </w:tcPr>
          <w:p w14:paraId="2F5A5383" w14:textId="77777777" w:rsidR="001B0431" w:rsidRPr="005B1A56" w:rsidRDefault="002A7BC7">
            <w:pPr>
              <w:spacing w:line="100" w:lineRule="atLeast"/>
              <w:rPr>
                <w:rFonts w:ascii="Bookman Old Style" w:hAnsi="Bookman Old Style"/>
                <w:b/>
                <w:caps/>
                <w:color w:val="000000"/>
                <w:sz w:val="24"/>
                <w:szCs w:val="24"/>
                <w:lang w:eastAsia="ar-SA"/>
              </w:rPr>
            </w:pPr>
            <w:r w:rsidRPr="005B1A56">
              <w:rPr>
                <w:rFonts w:ascii="Bookman Old Style" w:hAnsi="Bookman Old Style"/>
                <w:b/>
                <w:caps/>
                <w:color w:val="000000"/>
                <w:sz w:val="24"/>
                <w:szCs w:val="24"/>
                <w:lang w:eastAsia="ar-SA"/>
              </w:rPr>
              <w:t>DEFENDANT.</w:t>
            </w:r>
          </w:p>
        </w:tc>
        <w:tc>
          <w:tcPr>
            <w:tcW w:w="3626" w:type="dxa"/>
            <w:gridSpan w:val="2"/>
            <w:tcMar>
              <w:left w:w="108" w:type="dxa"/>
              <w:right w:w="108" w:type="dxa"/>
            </w:tcMar>
            <w:vAlign w:val="bottom"/>
          </w:tcPr>
          <w:p w14:paraId="37429312" w14:textId="77777777" w:rsidR="001B0431" w:rsidRPr="005B1A56" w:rsidRDefault="001B0431">
            <w:pPr>
              <w:spacing w:line="100" w:lineRule="atLeast"/>
              <w:rPr>
                <w:rFonts w:ascii="Bookman Old Style" w:hAnsi="Bookman Old Style"/>
                <w:b/>
                <w:caps/>
                <w:color w:val="000000"/>
                <w:sz w:val="24"/>
                <w:szCs w:val="24"/>
                <w:lang w:eastAsia="ar-SA"/>
              </w:rPr>
            </w:pPr>
          </w:p>
        </w:tc>
      </w:tr>
      <w:tr w:rsidR="001B0431" w:rsidRPr="005B1A56" w14:paraId="503868E4" w14:textId="77777777">
        <w:trPr>
          <w:trHeight w:val="300"/>
        </w:trPr>
        <w:tc>
          <w:tcPr>
            <w:tcW w:w="1058" w:type="dxa"/>
            <w:tcBorders>
              <w:top w:val="nil"/>
              <w:left w:val="nil"/>
              <w:bottom w:val="double" w:sz="24" w:space="0" w:color="000000"/>
              <w:right w:val="nil"/>
            </w:tcBorders>
            <w:tcMar>
              <w:left w:w="108" w:type="dxa"/>
              <w:right w:w="108" w:type="dxa"/>
            </w:tcMar>
            <w:vAlign w:val="bottom"/>
          </w:tcPr>
          <w:p w14:paraId="72C07FA7" w14:textId="77777777" w:rsidR="001B0431" w:rsidRPr="005B1A56" w:rsidRDefault="001B0431">
            <w:pPr>
              <w:spacing w:line="100" w:lineRule="atLeast"/>
              <w:rPr>
                <w:rFonts w:ascii="Bookman Old Style" w:hAnsi="Bookman Old Style"/>
                <w:b/>
                <w:caps/>
                <w:color w:val="000000"/>
                <w:sz w:val="24"/>
                <w:szCs w:val="24"/>
                <w:lang w:eastAsia="ar-SA"/>
              </w:rPr>
            </w:pPr>
          </w:p>
        </w:tc>
        <w:tc>
          <w:tcPr>
            <w:tcW w:w="4796" w:type="dxa"/>
            <w:gridSpan w:val="2"/>
            <w:tcBorders>
              <w:top w:val="nil"/>
              <w:left w:val="nil"/>
              <w:bottom w:val="double" w:sz="24" w:space="0" w:color="000000"/>
              <w:right w:val="nil"/>
            </w:tcBorders>
            <w:tcMar>
              <w:left w:w="108" w:type="dxa"/>
              <w:right w:w="108" w:type="dxa"/>
            </w:tcMar>
            <w:vAlign w:val="bottom"/>
          </w:tcPr>
          <w:p w14:paraId="5DEE1E2E" w14:textId="77777777" w:rsidR="001B0431" w:rsidRPr="005B1A56" w:rsidRDefault="001B0431">
            <w:pPr>
              <w:spacing w:line="100" w:lineRule="atLeast"/>
              <w:rPr>
                <w:rFonts w:ascii="Bookman Old Style" w:hAnsi="Bookman Old Style"/>
                <w:b/>
                <w:caps/>
                <w:color w:val="000000"/>
                <w:sz w:val="24"/>
                <w:szCs w:val="24"/>
                <w:lang w:eastAsia="ar-SA"/>
              </w:rPr>
            </w:pPr>
          </w:p>
        </w:tc>
        <w:tc>
          <w:tcPr>
            <w:tcW w:w="3626" w:type="dxa"/>
            <w:gridSpan w:val="2"/>
            <w:tcBorders>
              <w:top w:val="nil"/>
              <w:left w:val="nil"/>
              <w:bottom w:val="double" w:sz="24" w:space="0" w:color="000000"/>
              <w:right w:val="nil"/>
            </w:tcBorders>
            <w:tcMar>
              <w:left w:w="108" w:type="dxa"/>
              <w:right w:w="108" w:type="dxa"/>
            </w:tcMar>
            <w:vAlign w:val="bottom"/>
          </w:tcPr>
          <w:p w14:paraId="1308B5F0" w14:textId="77777777" w:rsidR="001B0431" w:rsidRPr="005B1A56" w:rsidRDefault="001B0431">
            <w:pPr>
              <w:spacing w:line="100" w:lineRule="atLeast"/>
              <w:rPr>
                <w:rFonts w:ascii="Bookman Old Style" w:hAnsi="Bookman Old Style"/>
                <w:b/>
                <w:caps/>
                <w:color w:val="000000"/>
                <w:sz w:val="24"/>
                <w:szCs w:val="24"/>
                <w:lang w:eastAsia="ar-SA"/>
              </w:rPr>
            </w:pPr>
          </w:p>
        </w:tc>
      </w:tr>
      <w:tr w:rsidR="001B0431" w:rsidRPr="005B1A56" w14:paraId="16B679D6" w14:textId="77777777">
        <w:trPr>
          <w:trHeight w:val="300"/>
        </w:trPr>
        <w:tc>
          <w:tcPr>
            <w:tcW w:w="9480" w:type="dxa"/>
            <w:gridSpan w:val="5"/>
            <w:tcBorders>
              <w:top w:val="double" w:sz="24" w:space="0" w:color="000000"/>
              <w:left w:val="nil"/>
              <w:bottom w:val="double" w:sz="24" w:space="0" w:color="000000"/>
              <w:right w:val="nil"/>
            </w:tcBorders>
            <w:tcMar>
              <w:left w:w="108" w:type="dxa"/>
              <w:right w:w="108" w:type="dxa"/>
            </w:tcMar>
            <w:vAlign w:val="bottom"/>
          </w:tcPr>
          <w:p w14:paraId="1F1CCF38" w14:textId="77777777" w:rsidR="001B0431" w:rsidRPr="005B1A56" w:rsidRDefault="001B0431">
            <w:pPr>
              <w:spacing w:line="100" w:lineRule="atLeast"/>
              <w:jc w:val="center"/>
              <w:rPr>
                <w:rFonts w:ascii="Bookman Old Style" w:hAnsi="Bookman Old Style"/>
                <w:b/>
                <w:caps/>
                <w:color w:val="000000"/>
                <w:sz w:val="24"/>
                <w:szCs w:val="24"/>
                <w:lang w:eastAsia="ar-SA"/>
              </w:rPr>
            </w:pPr>
          </w:p>
          <w:p w14:paraId="2F464966" w14:textId="77777777" w:rsidR="001B0431" w:rsidRPr="005B1A56" w:rsidRDefault="002A7BC7">
            <w:pPr>
              <w:spacing w:line="100" w:lineRule="atLeast"/>
              <w:jc w:val="center"/>
              <w:rPr>
                <w:rFonts w:ascii="Bookman Old Style" w:hAnsi="Bookman Old Style"/>
                <w:b/>
                <w:caps/>
                <w:color w:val="000000"/>
                <w:sz w:val="24"/>
                <w:szCs w:val="24"/>
                <w:lang w:eastAsia="ar-SA"/>
              </w:rPr>
            </w:pPr>
            <w:r w:rsidRPr="005B1A56">
              <w:rPr>
                <w:rFonts w:ascii="Bookman Old Style" w:hAnsi="Bookman Old Style"/>
                <w:b/>
                <w:caps/>
                <w:color w:val="000000"/>
                <w:sz w:val="24"/>
                <w:szCs w:val="24"/>
                <w:lang w:eastAsia="ar-SA"/>
              </w:rPr>
              <w:t xml:space="preserve">Defendant’s NOTICE OF MOTION AND mOTION </w:t>
            </w:r>
            <w:r w:rsidRPr="005B1A56">
              <w:rPr>
                <w:rFonts w:ascii="Bookman Old Style" w:hAnsi="Bookman Old Style"/>
                <w:b/>
                <w:caps/>
                <w:color w:val="000000"/>
                <w:sz w:val="24"/>
                <w:szCs w:val="24"/>
                <w:lang w:eastAsia="ar-SA"/>
              </w:rPr>
              <w:br/>
              <w:t xml:space="preserve">tO MODIFY CONDITIONS OF BOND </w:t>
            </w:r>
          </w:p>
          <w:p w14:paraId="367A8E6B" w14:textId="77777777" w:rsidR="001B0431" w:rsidRPr="005B1A56" w:rsidRDefault="001B0431">
            <w:pPr>
              <w:spacing w:line="100" w:lineRule="atLeast"/>
              <w:jc w:val="center"/>
              <w:rPr>
                <w:rFonts w:ascii="Bookman Old Style" w:hAnsi="Bookman Old Style"/>
                <w:b/>
                <w:caps/>
                <w:color w:val="000000"/>
                <w:sz w:val="24"/>
                <w:szCs w:val="24"/>
                <w:lang w:eastAsia="ar-SA"/>
              </w:rPr>
            </w:pPr>
          </w:p>
        </w:tc>
      </w:tr>
    </w:tbl>
    <w:p w14:paraId="716CCDD9" w14:textId="77777777" w:rsidR="001B0431" w:rsidRPr="005B1A56" w:rsidRDefault="001B0431">
      <w:pPr>
        <w:spacing w:line="100" w:lineRule="atLeast"/>
        <w:rPr>
          <w:rFonts w:ascii="Bookman Old Style" w:hAnsi="Bookman Old Style"/>
          <w:b/>
          <w:color w:val="000000"/>
          <w:sz w:val="24"/>
          <w:szCs w:val="24"/>
          <w:lang w:eastAsia="ar-SA"/>
        </w:rPr>
      </w:pPr>
    </w:p>
    <w:p w14:paraId="7621E621" w14:textId="77777777" w:rsidR="001B0431" w:rsidRPr="005B1A56" w:rsidRDefault="002A7BC7">
      <w:pPr>
        <w:spacing w:line="100" w:lineRule="atLeast"/>
        <w:rPr>
          <w:rFonts w:ascii="Bookman Old Style" w:hAnsi="Bookman Old Style"/>
          <w:sz w:val="24"/>
          <w:szCs w:val="24"/>
          <w:lang w:eastAsia="ar-SA"/>
        </w:rPr>
      </w:pPr>
      <w:r w:rsidRPr="005B1A56">
        <w:rPr>
          <w:rFonts w:ascii="Bookman Old Style" w:hAnsi="Bookman Old Style"/>
          <w:sz w:val="24"/>
          <w:szCs w:val="24"/>
          <w:lang w:eastAsia="ar-SA"/>
        </w:rPr>
        <w:t>To:</w:t>
      </w:r>
      <w:r w:rsidRPr="005B1A56">
        <w:rPr>
          <w:rFonts w:ascii="Bookman Old Style" w:hAnsi="Bookman Old Style"/>
          <w:sz w:val="24"/>
          <w:szCs w:val="24"/>
          <w:lang w:eastAsia="ar-SA"/>
        </w:rPr>
        <w:tab/>
        <w:t>Mr. Valerian Powell</w:t>
      </w:r>
    </w:p>
    <w:p w14:paraId="0D867A33" w14:textId="77777777" w:rsidR="001B0431" w:rsidRPr="005B1A56" w:rsidRDefault="002A7BC7">
      <w:pPr>
        <w:spacing w:line="100" w:lineRule="atLeast"/>
        <w:rPr>
          <w:rFonts w:ascii="Bookman Old Style" w:hAnsi="Bookman Old Style"/>
          <w:sz w:val="24"/>
          <w:szCs w:val="24"/>
          <w:lang w:eastAsia="ar-SA"/>
        </w:rPr>
      </w:pPr>
      <w:r w:rsidRPr="005B1A56">
        <w:rPr>
          <w:rFonts w:ascii="Bookman Old Style" w:hAnsi="Bookman Old Style"/>
          <w:sz w:val="24"/>
          <w:szCs w:val="24"/>
          <w:lang w:eastAsia="ar-SA"/>
        </w:rPr>
        <w:tab/>
        <w:t>Dane County District Attorney's Office</w:t>
      </w:r>
      <w:r w:rsidRPr="005B1A56">
        <w:rPr>
          <w:rFonts w:ascii="Bookman Old Style" w:hAnsi="Bookman Old Style"/>
          <w:sz w:val="24"/>
          <w:szCs w:val="24"/>
          <w:lang w:eastAsia="ar-SA"/>
        </w:rPr>
        <w:br/>
      </w:r>
      <w:r w:rsidRPr="005B1A56">
        <w:rPr>
          <w:rFonts w:ascii="Bookman Old Style" w:hAnsi="Bookman Old Style"/>
          <w:sz w:val="24"/>
          <w:szCs w:val="24"/>
          <w:lang w:eastAsia="ar-SA"/>
        </w:rPr>
        <w:tab/>
        <w:t>Dane County Courthouse</w:t>
      </w:r>
      <w:r w:rsidRPr="005B1A56">
        <w:rPr>
          <w:rFonts w:ascii="Bookman Old Style" w:hAnsi="Bookman Old Style"/>
          <w:sz w:val="24"/>
          <w:szCs w:val="24"/>
          <w:lang w:eastAsia="ar-SA"/>
        </w:rPr>
        <w:br/>
      </w:r>
      <w:r w:rsidRPr="005B1A56">
        <w:rPr>
          <w:rFonts w:ascii="Bookman Old Style" w:hAnsi="Bookman Old Style"/>
          <w:sz w:val="24"/>
          <w:szCs w:val="24"/>
          <w:lang w:eastAsia="ar-SA"/>
        </w:rPr>
        <w:tab/>
        <w:t>215 S. Hamilton St. #3000</w:t>
      </w:r>
    </w:p>
    <w:p w14:paraId="7B0AB3E4" w14:textId="77777777" w:rsidR="001B0431" w:rsidRPr="005B1A56" w:rsidRDefault="002A7BC7">
      <w:pPr>
        <w:autoSpaceDN w:val="0"/>
        <w:spacing w:line="480" w:lineRule="auto"/>
        <w:rPr>
          <w:rFonts w:ascii="Bookman Old Style" w:hAnsi="Bookman Old Style"/>
          <w:sz w:val="24"/>
          <w:szCs w:val="24"/>
          <w:lang w:eastAsia="ar-SA"/>
        </w:rPr>
      </w:pPr>
      <w:r w:rsidRPr="005B1A56">
        <w:rPr>
          <w:rFonts w:ascii="Bookman Old Style" w:hAnsi="Bookman Old Style"/>
          <w:sz w:val="24"/>
          <w:szCs w:val="24"/>
          <w:lang w:eastAsia="ar-SA"/>
        </w:rPr>
        <w:tab/>
        <w:t>Madison WI 53703-3297</w:t>
      </w:r>
      <w:r w:rsidRPr="005B1A56">
        <w:rPr>
          <w:rFonts w:ascii="Bookman Old Style" w:hAnsi="Bookman Old Style"/>
          <w:sz w:val="24"/>
          <w:szCs w:val="24"/>
          <w:lang w:eastAsia="ar-SA"/>
        </w:rPr>
        <w:tab/>
      </w:r>
    </w:p>
    <w:p w14:paraId="64A428F6" w14:textId="77777777" w:rsidR="0020700B" w:rsidRPr="005B1A56" w:rsidRDefault="0020700B">
      <w:pPr>
        <w:autoSpaceDN w:val="0"/>
        <w:spacing w:line="480" w:lineRule="auto"/>
        <w:rPr>
          <w:rFonts w:ascii="Bookman Old Style" w:hAnsi="Bookman Old Style"/>
          <w:sz w:val="24"/>
          <w:szCs w:val="24"/>
          <w:lang w:eastAsia="ar-SA"/>
        </w:rPr>
      </w:pPr>
    </w:p>
    <w:p w14:paraId="08C45E61" w14:textId="77777777" w:rsidR="0020700B" w:rsidRPr="005B1A56" w:rsidRDefault="0020700B">
      <w:pPr>
        <w:autoSpaceDN w:val="0"/>
        <w:spacing w:line="480" w:lineRule="auto"/>
        <w:rPr>
          <w:rFonts w:ascii="Bookman Old Style" w:hAnsi="Bookman Old Style"/>
          <w:sz w:val="24"/>
          <w:szCs w:val="24"/>
          <w:lang w:eastAsia="ar-SA"/>
        </w:rPr>
      </w:pPr>
    </w:p>
    <w:p w14:paraId="70657020" w14:textId="77777777" w:rsidR="001B0431" w:rsidRPr="005B1A56" w:rsidRDefault="002A7BC7">
      <w:pPr>
        <w:tabs>
          <w:tab w:val="left" w:pos="-720"/>
        </w:tabs>
        <w:spacing w:line="480" w:lineRule="auto"/>
        <w:jc w:val="center"/>
        <w:rPr>
          <w:rFonts w:ascii="Bookman Old Style" w:hAnsi="Bookman Old Style"/>
          <w:b/>
          <w:sz w:val="24"/>
          <w:szCs w:val="24"/>
        </w:rPr>
      </w:pPr>
      <w:r w:rsidRPr="005B1A56">
        <w:rPr>
          <w:rFonts w:ascii="Bookman Old Style" w:hAnsi="Bookman Old Style"/>
          <w:b/>
          <w:sz w:val="24"/>
          <w:szCs w:val="24"/>
        </w:rPr>
        <w:t>NOTICE</w:t>
      </w:r>
    </w:p>
    <w:p w14:paraId="7E8B6100" w14:textId="77777777" w:rsidR="001B0431" w:rsidRPr="005B1A56" w:rsidRDefault="002A7BC7">
      <w:pPr>
        <w:spacing w:line="480" w:lineRule="auto"/>
        <w:ind w:firstLine="720"/>
        <w:jc w:val="both"/>
        <w:rPr>
          <w:rFonts w:ascii="Bookman Old Style" w:hAnsi="Bookman Old Style"/>
          <w:sz w:val="24"/>
          <w:szCs w:val="24"/>
        </w:rPr>
      </w:pPr>
      <w:r w:rsidRPr="005B1A56">
        <w:rPr>
          <w:rFonts w:ascii="Bookman Old Style" w:hAnsi="Bookman Old Style"/>
          <w:sz w:val="24"/>
          <w:szCs w:val="24"/>
        </w:rPr>
        <w:t xml:space="preserve">The defendant, appearing specially by his attorney and reserving his right to challenge the court's jurisdiction, hereby provides notice that on a date and at a time and place to be designated by the court, the defendant will move the court for an order granting the motion(s) attached to this notice.  </w:t>
      </w:r>
    </w:p>
    <w:p w14:paraId="44153410" w14:textId="77777777" w:rsidR="001B0431" w:rsidRPr="005B1A56" w:rsidRDefault="001B0431">
      <w:pPr>
        <w:tabs>
          <w:tab w:val="left" w:pos="-720"/>
        </w:tabs>
        <w:spacing w:line="480" w:lineRule="auto"/>
        <w:jc w:val="center"/>
        <w:rPr>
          <w:rFonts w:ascii="Bookman Old Style" w:hAnsi="Bookman Old Style"/>
          <w:b/>
          <w:sz w:val="24"/>
          <w:szCs w:val="24"/>
        </w:rPr>
      </w:pPr>
    </w:p>
    <w:p w14:paraId="7C7B1569" w14:textId="77777777" w:rsidR="001B0431" w:rsidRPr="005B1A56" w:rsidRDefault="001B0431">
      <w:pPr>
        <w:autoSpaceDN w:val="0"/>
        <w:spacing w:line="480" w:lineRule="auto"/>
        <w:rPr>
          <w:rFonts w:ascii="Bookman Old Style" w:hAnsi="Bookman Old Style"/>
          <w:sz w:val="24"/>
          <w:szCs w:val="24"/>
          <w:lang w:eastAsia="ar-SA"/>
        </w:rPr>
      </w:pPr>
    </w:p>
    <w:p w14:paraId="18F167EA" w14:textId="77777777" w:rsidR="001B0431" w:rsidRPr="005B1A56" w:rsidRDefault="001B0431">
      <w:pPr>
        <w:autoSpaceDN w:val="0"/>
        <w:spacing w:line="480" w:lineRule="auto"/>
        <w:rPr>
          <w:rFonts w:ascii="Bookman Old Style" w:hAnsi="Bookman Old Style"/>
          <w:sz w:val="24"/>
          <w:szCs w:val="24"/>
          <w:lang w:eastAsia="ar-SA"/>
        </w:rPr>
      </w:pPr>
    </w:p>
    <w:p w14:paraId="002C3EC6" w14:textId="77777777" w:rsidR="001B0431" w:rsidRPr="005B1A56" w:rsidRDefault="002A7BC7">
      <w:pPr>
        <w:autoSpaceDN w:val="0"/>
        <w:spacing w:line="480" w:lineRule="auto"/>
        <w:jc w:val="center"/>
        <w:rPr>
          <w:rFonts w:ascii="Bookman Old Style" w:hAnsi="Bookman Old Style"/>
          <w:b/>
          <w:sz w:val="24"/>
          <w:szCs w:val="24"/>
          <w:lang w:eastAsia="ar-SA"/>
        </w:rPr>
      </w:pPr>
      <w:r w:rsidRPr="005B1A56">
        <w:rPr>
          <w:rFonts w:ascii="Bookman Old Style" w:hAnsi="Bookman Old Style"/>
          <w:b/>
          <w:sz w:val="24"/>
          <w:szCs w:val="24"/>
          <w:lang w:eastAsia="ar-SA"/>
        </w:rPr>
        <w:t>MOTION</w:t>
      </w:r>
    </w:p>
    <w:p w14:paraId="3C70DF56" w14:textId="77777777" w:rsidR="001B0431" w:rsidRPr="005B1A56" w:rsidRDefault="002A7BC7">
      <w:pPr>
        <w:tabs>
          <w:tab w:val="left" w:pos="-720"/>
        </w:tabs>
        <w:spacing w:line="480" w:lineRule="auto"/>
        <w:jc w:val="both"/>
        <w:rPr>
          <w:rFonts w:ascii="Bookman Old Style" w:hAnsi="Bookman Old Style"/>
          <w:spacing w:val="-3"/>
          <w:sz w:val="24"/>
          <w:szCs w:val="24"/>
        </w:rPr>
      </w:pPr>
      <w:r w:rsidRPr="005B1A56">
        <w:rPr>
          <w:rFonts w:ascii="Bookman Old Style" w:hAnsi="Bookman Old Style"/>
          <w:sz w:val="24"/>
          <w:szCs w:val="24"/>
        </w:rPr>
        <w:tab/>
      </w:r>
      <w:r w:rsidRPr="005B1A56">
        <w:rPr>
          <w:rFonts w:ascii="Bookman Old Style" w:hAnsi="Bookman Old Style"/>
          <w:spacing w:val="-3"/>
          <w:sz w:val="24"/>
          <w:szCs w:val="24"/>
        </w:rPr>
        <w:t>The defendant, appearing specially by his attorney and reserving his</w:t>
      </w:r>
      <w:r w:rsidRPr="005B1A56">
        <w:rPr>
          <w:rFonts w:ascii="Bookman Old Style" w:hAnsi="Bookman Old Style"/>
          <w:color w:val="FF0000"/>
          <w:spacing w:val="-3"/>
          <w:sz w:val="24"/>
          <w:szCs w:val="24"/>
        </w:rPr>
        <w:t xml:space="preserve"> </w:t>
      </w:r>
      <w:r w:rsidRPr="005B1A56">
        <w:rPr>
          <w:rFonts w:ascii="Bookman Old Style" w:hAnsi="Bookman Old Style"/>
          <w:spacing w:val="-3"/>
          <w:sz w:val="24"/>
          <w:szCs w:val="24"/>
        </w:rPr>
        <w:t>right to challenge the court's jurisdiction, moves the Court to modify the conditions of the defendant's bail.  This motion is brought pursuant to the 8th and 14th Amendments to the United States Constitution; article I, sections 6 and 8 of the Wisconsin Constitution; and Wisconsin Statutes, Chapter 969 Bail and Other Conditions of Release.</w:t>
      </w:r>
    </w:p>
    <w:p w14:paraId="5134C2EE" w14:textId="77777777" w:rsidR="001B0431" w:rsidRPr="005B1A56" w:rsidRDefault="002A7BC7">
      <w:pPr>
        <w:tabs>
          <w:tab w:val="left" w:pos="-720"/>
        </w:tabs>
        <w:spacing w:line="480" w:lineRule="auto"/>
        <w:jc w:val="both"/>
        <w:rPr>
          <w:rFonts w:ascii="Bookman Old Style" w:hAnsi="Bookman Old Style"/>
          <w:spacing w:val="-3"/>
          <w:sz w:val="24"/>
          <w:szCs w:val="24"/>
        </w:rPr>
      </w:pPr>
      <w:r w:rsidRPr="005B1A56">
        <w:rPr>
          <w:rFonts w:ascii="Bookman Old Style" w:hAnsi="Bookman Old Style"/>
          <w:spacing w:val="-3"/>
          <w:sz w:val="24"/>
          <w:szCs w:val="24"/>
        </w:rPr>
        <w:tab/>
        <w:t xml:space="preserve">More specifically, this motion addresses the United States </w:t>
      </w:r>
      <w:r w:rsidR="0020700B" w:rsidRPr="005B1A56">
        <w:rPr>
          <w:rFonts w:ascii="Bookman Old Style" w:hAnsi="Bookman Old Style"/>
          <w:spacing w:val="-3"/>
          <w:sz w:val="24"/>
          <w:szCs w:val="24"/>
        </w:rPr>
        <w:t>Constitution’s guarantee</w:t>
      </w:r>
      <w:r w:rsidRPr="005B1A56">
        <w:rPr>
          <w:rFonts w:ascii="Bookman Old Style" w:hAnsi="Bookman Old Style"/>
          <w:spacing w:val="-3"/>
          <w:sz w:val="24"/>
          <w:szCs w:val="24"/>
        </w:rPr>
        <w:t xml:space="preserve"> that:</w:t>
      </w:r>
    </w:p>
    <w:p w14:paraId="702700C5" w14:textId="77777777" w:rsidR="001B0431" w:rsidRPr="005B1A56" w:rsidRDefault="002A7BC7" w:rsidP="0020700B">
      <w:pPr>
        <w:ind w:left="1440" w:right="1440"/>
        <w:jc w:val="both"/>
        <w:rPr>
          <w:rFonts w:ascii="Bookman Old Style" w:hAnsi="Bookman Old Style" w:cs="Helvetica"/>
          <w:color w:val="222222"/>
          <w:sz w:val="24"/>
          <w:szCs w:val="24"/>
          <w:shd w:val="clear" w:color="000000" w:fill="FFFFFF"/>
        </w:rPr>
      </w:pPr>
      <w:r w:rsidRPr="005B1A56">
        <w:rPr>
          <w:rFonts w:ascii="Bookman Old Style" w:hAnsi="Bookman Old Style" w:cs="Helvetica"/>
          <w:color w:val="222222"/>
          <w:sz w:val="24"/>
          <w:szCs w:val="24"/>
          <w:shd w:val="clear" w:color="000000" w:fill="FFFFFF"/>
        </w:rPr>
        <w:t>Congress shall make no law respecting an establishment of religion, or prohibiting the free exercise thereof; or abridging the freedom of speech, or of the press; or the right of the people peaceably to assemble, and to petition the Government for a redress of ...</w:t>
      </w:r>
    </w:p>
    <w:p w14:paraId="23557D61" w14:textId="77777777" w:rsidR="001B0431" w:rsidRPr="005B1A56" w:rsidRDefault="001B0431">
      <w:pPr>
        <w:ind w:left="1440" w:right="1440"/>
        <w:jc w:val="both"/>
        <w:rPr>
          <w:rFonts w:ascii="Bookman Old Style" w:hAnsi="Bookman Old Style" w:cs="Helvetica"/>
          <w:color w:val="222222"/>
          <w:sz w:val="24"/>
          <w:szCs w:val="24"/>
          <w:shd w:val="clear" w:color="000000" w:fill="FFFFFF"/>
        </w:rPr>
      </w:pPr>
    </w:p>
    <w:p w14:paraId="21B7B6CD" w14:textId="77777777" w:rsidR="001B0431" w:rsidRPr="005B1A56" w:rsidRDefault="002A7BC7">
      <w:pPr>
        <w:tabs>
          <w:tab w:val="left" w:pos="-720"/>
        </w:tabs>
        <w:spacing w:line="480" w:lineRule="auto"/>
        <w:jc w:val="both"/>
        <w:rPr>
          <w:rFonts w:ascii="Bookman Old Style" w:hAnsi="Bookman Old Style"/>
          <w:spacing w:val="-3"/>
          <w:sz w:val="24"/>
          <w:szCs w:val="24"/>
        </w:rPr>
      </w:pPr>
      <w:r w:rsidRPr="005B1A56">
        <w:rPr>
          <w:rFonts w:ascii="Bookman Old Style" w:hAnsi="Bookman Old Style"/>
          <w:spacing w:val="-3"/>
          <w:sz w:val="24"/>
          <w:szCs w:val="24"/>
        </w:rPr>
        <w:tab/>
        <w:t>As well as Wisconsin’s, Article I, Declaration of Rights, Section 18 - Freedom of worship; liberty of conscience; state religion; public funds, which provides in pertinent par</w:t>
      </w:r>
      <w:r w:rsidR="0020700B" w:rsidRPr="005B1A56">
        <w:rPr>
          <w:rFonts w:ascii="Bookman Old Style" w:hAnsi="Bookman Old Style"/>
          <w:spacing w:val="-3"/>
          <w:sz w:val="24"/>
          <w:szCs w:val="24"/>
        </w:rPr>
        <w:t>t:</w:t>
      </w:r>
    </w:p>
    <w:p w14:paraId="1FEC91AB" w14:textId="77777777" w:rsidR="001B0431" w:rsidRPr="005B1A56" w:rsidRDefault="002A7BC7">
      <w:pPr>
        <w:ind w:left="1440" w:right="1440"/>
        <w:jc w:val="both"/>
        <w:rPr>
          <w:rFonts w:ascii="Bookman Old Style" w:hAnsi="Bookman Old Style" w:cs="Helvetica"/>
          <w:color w:val="222222"/>
          <w:sz w:val="24"/>
          <w:szCs w:val="24"/>
          <w:shd w:val="clear" w:color="000000" w:fill="FFFFFF"/>
        </w:rPr>
      </w:pPr>
      <w:r w:rsidRPr="005B1A56">
        <w:rPr>
          <w:rFonts w:ascii="Bookman Old Style" w:hAnsi="Bookman Old Style" w:cs="Helvetica"/>
          <w:color w:val="222222"/>
          <w:sz w:val="24"/>
          <w:szCs w:val="24"/>
          <w:shd w:val="clear" w:color="000000" w:fill="FFFFFF"/>
        </w:rPr>
        <w:t xml:space="preserve">The right of every person to worship Almighty God according to the dictates of conscience shall never be infringed; nor shall any person be compelled to attend, erect or support any place of worship, or to maintain any ministry, without consent; nor shall any control of, or interference with, the rights of conscience be permitted, or any preference be given by law to any religious establishments or modes of worship; nor shall any money be drawn from the treasury for the benefit of religious societies, or religious or theological seminaries. </w:t>
      </w:r>
    </w:p>
    <w:p w14:paraId="519D13A1" w14:textId="77777777" w:rsidR="001B0431" w:rsidRPr="005B1A56" w:rsidRDefault="001B0431" w:rsidP="0020700B">
      <w:pPr>
        <w:ind w:right="1440"/>
        <w:jc w:val="both"/>
        <w:rPr>
          <w:rFonts w:ascii="Bookman Old Style" w:hAnsi="Bookman Old Style" w:cs="Helvetica"/>
          <w:color w:val="222222"/>
          <w:sz w:val="24"/>
          <w:szCs w:val="24"/>
          <w:shd w:val="clear" w:color="000000" w:fill="FFFFFF"/>
        </w:rPr>
      </w:pPr>
    </w:p>
    <w:p w14:paraId="1206DE69" w14:textId="77777777" w:rsidR="001B0431" w:rsidRPr="005B1A56" w:rsidRDefault="002A7BC7">
      <w:pPr>
        <w:tabs>
          <w:tab w:val="left" w:pos="-720"/>
        </w:tabs>
        <w:spacing w:line="480" w:lineRule="auto"/>
        <w:jc w:val="both"/>
        <w:rPr>
          <w:rFonts w:ascii="Bookman Old Style" w:hAnsi="Bookman Old Style"/>
          <w:spacing w:val="-3"/>
          <w:sz w:val="24"/>
          <w:szCs w:val="24"/>
        </w:rPr>
      </w:pPr>
      <w:r w:rsidRPr="005B1A56">
        <w:rPr>
          <w:rFonts w:ascii="Bookman Old Style" w:hAnsi="Bookman Old Style"/>
          <w:spacing w:val="-3"/>
          <w:sz w:val="24"/>
          <w:szCs w:val="24"/>
        </w:rPr>
        <w:tab/>
        <w:t>AS GROUNDS, the defendant asserts:</w:t>
      </w:r>
    </w:p>
    <w:p w14:paraId="2C8F0A3C" w14:textId="77777777" w:rsidR="001B0431" w:rsidRPr="001612E9" w:rsidRDefault="002A7BC7">
      <w:pPr>
        <w:spacing w:line="480" w:lineRule="auto"/>
        <w:jc w:val="center"/>
        <w:rPr>
          <w:rFonts w:ascii="Bookman Old Style" w:hAnsi="Bookman Old Style"/>
          <w:sz w:val="24"/>
          <w:szCs w:val="24"/>
        </w:rPr>
      </w:pPr>
      <w:r w:rsidRPr="001612E9">
        <w:rPr>
          <w:rFonts w:ascii="Bookman Old Style" w:hAnsi="Bookman Old Style"/>
          <w:b/>
          <w:sz w:val="24"/>
          <w:szCs w:val="24"/>
        </w:rPr>
        <w:t>I.   LEGAL AUTHORITY</w:t>
      </w:r>
    </w:p>
    <w:p w14:paraId="06885A18" w14:textId="77777777" w:rsidR="001B0431" w:rsidRPr="001612E9" w:rsidRDefault="002A7BC7">
      <w:pPr>
        <w:spacing w:line="480" w:lineRule="auto"/>
        <w:ind w:firstLine="1440"/>
        <w:jc w:val="both"/>
        <w:rPr>
          <w:rFonts w:ascii="Bookman Old Style" w:hAnsi="Bookman Old Style"/>
          <w:sz w:val="24"/>
          <w:szCs w:val="24"/>
        </w:rPr>
      </w:pPr>
      <w:r w:rsidRPr="001612E9">
        <w:rPr>
          <w:rFonts w:ascii="Bookman Old Style" w:hAnsi="Bookman Old Style"/>
          <w:sz w:val="24"/>
          <w:szCs w:val="24"/>
        </w:rPr>
        <w:t>1.</w:t>
      </w:r>
      <w:r w:rsidRPr="001612E9">
        <w:rPr>
          <w:rFonts w:ascii="Bookman Old Style" w:hAnsi="Bookman Old Style"/>
          <w:sz w:val="24"/>
          <w:szCs w:val="24"/>
        </w:rPr>
        <w:tab/>
        <w:t>Mr.</w:t>
      </w:r>
      <w:r w:rsidRPr="001612E9">
        <w:rPr>
          <w:rFonts w:ascii="Bookman Old Style" w:hAnsi="Bookman Old Style"/>
          <w:color w:val="FF0000"/>
          <w:sz w:val="24"/>
          <w:szCs w:val="24"/>
        </w:rPr>
        <w:t xml:space="preserve"> </w:t>
      </w:r>
      <w:r w:rsidRPr="001612E9">
        <w:rPr>
          <w:rFonts w:ascii="Bookman Old Style" w:hAnsi="Bookman Old Style"/>
          <w:sz w:val="24"/>
          <w:szCs w:val="24"/>
        </w:rPr>
        <w:t>Schworck</w:t>
      </w:r>
      <w:r w:rsidRPr="001612E9">
        <w:rPr>
          <w:rFonts w:ascii="Bookman Old Style" w:hAnsi="Bookman Old Style"/>
          <w:color w:val="FF0000"/>
          <w:sz w:val="24"/>
          <w:szCs w:val="24"/>
        </w:rPr>
        <w:t xml:space="preserve"> </w:t>
      </w:r>
      <w:r w:rsidRPr="001612E9">
        <w:rPr>
          <w:rFonts w:ascii="Bookman Old Style" w:hAnsi="Bookman Old Style"/>
          <w:sz w:val="24"/>
          <w:szCs w:val="24"/>
        </w:rPr>
        <w:t xml:space="preserve">is presumed innocent of the pending charges.  </w:t>
      </w:r>
    </w:p>
    <w:p w14:paraId="37F50A55" w14:textId="77777777" w:rsidR="001B0431" w:rsidRPr="001612E9" w:rsidRDefault="002A7BC7">
      <w:pPr>
        <w:spacing w:line="480" w:lineRule="auto"/>
        <w:ind w:firstLine="1440"/>
        <w:jc w:val="both"/>
        <w:rPr>
          <w:rFonts w:ascii="Bookman Old Style" w:hAnsi="Bookman Old Style"/>
          <w:sz w:val="24"/>
          <w:szCs w:val="24"/>
        </w:rPr>
      </w:pPr>
      <w:r w:rsidRPr="001612E9">
        <w:rPr>
          <w:rFonts w:ascii="Bookman Old Style" w:hAnsi="Bookman Old Style"/>
          <w:sz w:val="24"/>
          <w:szCs w:val="24"/>
        </w:rPr>
        <w:t>2.</w:t>
      </w:r>
      <w:r w:rsidRPr="001612E9">
        <w:rPr>
          <w:rFonts w:ascii="Bookman Old Style" w:hAnsi="Bookman Old Style"/>
          <w:sz w:val="24"/>
          <w:szCs w:val="24"/>
        </w:rPr>
        <w:tab/>
        <w:t xml:space="preserve">The Constitution of the State of Wisconsin provides its citizens the absolute right to bail: </w:t>
      </w:r>
    </w:p>
    <w:p w14:paraId="4E9A40E2" w14:textId="77777777" w:rsidR="001B0431" w:rsidRPr="001612E9" w:rsidRDefault="002A7BC7">
      <w:pPr>
        <w:ind w:left="1440" w:right="1440"/>
        <w:jc w:val="both"/>
        <w:rPr>
          <w:rFonts w:ascii="Bookman Old Style" w:hAnsi="Bookman Old Style"/>
          <w:sz w:val="24"/>
          <w:szCs w:val="24"/>
        </w:rPr>
      </w:pPr>
      <w:r w:rsidRPr="001612E9">
        <w:rPr>
          <w:rFonts w:ascii="Bookman Old Style" w:hAnsi="Bookman Old Style"/>
          <w:sz w:val="24"/>
          <w:szCs w:val="24"/>
        </w:rPr>
        <w:t xml:space="preserve">(2) All persons, before conviction, shall be eligible for release under reasonable conditions designed to assure their appearance in court, protect members of the community from serious bodily harm or prevent the intimidation of witnesses.  Monetary conditions of release may be imposed at or after the initial appearance only upon a finding that there is a reasonable basis to believe that the conditions are necessary to assure appearance in court.  </w:t>
      </w:r>
      <w:r w:rsidRPr="001612E9">
        <w:rPr>
          <w:rFonts w:ascii="Bookman Old Style" w:hAnsi="Bookman Old Style"/>
          <w:smallCaps/>
          <w:sz w:val="24"/>
          <w:szCs w:val="24"/>
        </w:rPr>
        <w:t>WI Const.</w:t>
      </w:r>
      <w:r w:rsidRPr="001612E9">
        <w:rPr>
          <w:rFonts w:ascii="Bookman Old Style" w:hAnsi="Bookman Old Style"/>
          <w:sz w:val="24"/>
          <w:szCs w:val="24"/>
        </w:rPr>
        <w:t xml:space="preserve"> art I, § 8, cl. 2.</w:t>
      </w:r>
    </w:p>
    <w:p w14:paraId="0EB80E6C" w14:textId="77777777" w:rsidR="001B0431" w:rsidRPr="001612E9" w:rsidRDefault="001B0431" w:rsidP="00ED6D89">
      <w:pPr>
        <w:ind w:left="1440" w:right="1440"/>
        <w:jc w:val="both"/>
        <w:rPr>
          <w:rFonts w:ascii="Bookman Old Style" w:hAnsi="Bookman Old Style"/>
          <w:sz w:val="24"/>
          <w:szCs w:val="24"/>
        </w:rPr>
      </w:pPr>
    </w:p>
    <w:p w14:paraId="460E036D" w14:textId="77777777" w:rsidR="001B0431" w:rsidRPr="001612E9" w:rsidRDefault="002A7BC7">
      <w:pPr>
        <w:ind w:left="1440" w:right="1440"/>
        <w:jc w:val="both"/>
        <w:rPr>
          <w:rFonts w:ascii="Bookman Old Style" w:hAnsi="Bookman Old Style"/>
          <w:color w:val="FF0000"/>
          <w:sz w:val="24"/>
          <w:szCs w:val="24"/>
        </w:rPr>
      </w:pPr>
      <w:r w:rsidRPr="001612E9">
        <w:rPr>
          <w:rFonts w:ascii="Bookman Old Style" w:hAnsi="Bookman Old Style"/>
          <w:sz w:val="24"/>
          <w:szCs w:val="24"/>
        </w:rPr>
        <w:t>3.</w:t>
      </w:r>
      <w:r w:rsidRPr="001612E9">
        <w:rPr>
          <w:rFonts w:ascii="Bookman Old Style" w:hAnsi="Bookman Old Style"/>
          <w:color w:val="FF0000"/>
          <w:sz w:val="24"/>
          <w:szCs w:val="24"/>
        </w:rPr>
        <w:tab/>
      </w:r>
      <w:r w:rsidRPr="001612E9">
        <w:rPr>
          <w:rFonts w:ascii="Bookman Old Style" w:hAnsi="Bookman Old Style"/>
          <w:sz w:val="24"/>
          <w:szCs w:val="24"/>
        </w:rPr>
        <w:t>Mr. Schworck is a citizen of Wisconsin.</w:t>
      </w:r>
      <w:r w:rsidRPr="001612E9">
        <w:rPr>
          <w:rFonts w:ascii="Bookman Old Style" w:hAnsi="Bookman Old Style"/>
          <w:color w:val="FF0000"/>
          <w:sz w:val="24"/>
          <w:szCs w:val="24"/>
        </w:rPr>
        <w:t xml:space="preserve"> </w:t>
      </w:r>
    </w:p>
    <w:p w14:paraId="22A63D4C" w14:textId="77777777" w:rsidR="001B0431" w:rsidRPr="001612E9" w:rsidRDefault="001B0431">
      <w:pPr>
        <w:ind w:left="1440" w:right="1440"/>
        <w:jc w:val="both"/>
        <w:rPr>
          <w:rFonts w:ascii="Bookman Old Style" w:hAnsi="Bookman Old Style"/>
          <w:color w:val="FF0000"/>
          <w:sz w:val="24"/>
          <w:szCs w:val="24"/>
        </w:rPr>
      </w:pPr>
    </w:p>
    <w:p w14:paraId="5E8A5823" w14:textId="77777777" w:rsidR="001B0431" w:rsidRPr="001612E9" w:rsidRDefault="002A7BC7">
      <w:pPr>
        <w:spacing w:line="480" w:lineRule="auto"/>
        <w:ind w:firstLine="1440"/>
        <w:jc w:val="both"/>
        <w:rPr>
          <w:rFonts w:ascii="Bookman Old Style" w:hAnsi="Bookman Old Style"/>
          <w:sz w:val="24"/>
          <w:szCs w:val="24"/>
        </w:rPr>
      </w:pPr>
      <w:r w:rsidRPr="001612E9">
        <w:rPr>
          <w:rFonts w:ascii="Bookman Old Style" w:hAnsi="Bookman Old Style"/>
          <w:sz w:val="24"/>
          <w:szCs w:val="24"/>
        </w:rPr>
        <w:t xml:space="preserve">4.  </w:t>
      </w:r>
      <w:r w:rsidRPr="001612E9">
        <w:rPr>
          <w:rFonts w:ascii="Bookman Old Style" w:hAnsi="Bookman Old Style"/>
          <w:sz w:val="24"/>
          <w:szCs w:val="24"/>
        </w:rPr>
        <w:tab/>
        <w:t>Mr. Schworck was released on a signature bond which was later amended and continues to subject him to the following special conditions:</w:t>
      </w:r>
    </w:p>
    <w:p w14:paraId="7C641426" w14:textId="77777777" w:rsidR="001B0431" w:rsidRPr="001612E9" w:rsidRDefault="002A7BC7">
      <w:pPr>
        <w:ind w:left="1440" w:right="1440"/>
        <w:jc w:val="both"/>
        <w:rPr>
          <w:rFonts w:ascii="Bookman Old Style" w:hAnsi="Bookman Old Style" w:cs="Helvetica"/>
          <w:color w:val="222222"/>
          <w:sz w:val="24"/>
          <w:szCs w:val="24"/>
          <w:shd w:val="clear" w:color="000000" w:fill="FFFFFF"/>
        </w:rPr>
      </w:pPr>
      <w:r w:rsidRPr="001612E9">
        <w:rPr>
          <w:rFonts w:ascii="Bookman Old Style" w:hAnsi="Bookman Old Style" w:cs="Helvetica"/>
          <w:color w:val="222222"/>
          <w:sz w:val="24"/>
          <w:szCs w:val="24"/>
          <w:shd w:val="clear" w:color="000000" w:fill="FFFFFF"/>
        </w:rPr>
        <w:t>- Defendant shall not use or possess controlled substances or drug paraphernalia without a valid prescription</w:t>
      </w:r>
      <w:r w:rsidRPr="001612E9">
        <w:rPr>
          <w:rFonts w:ascii="Bookman Old Style" w:hAnsi="Bookman Old Style" w:cs="Helvetica"/>
          <w:color w:val="222222"/>
          <w:sz w:val="24"/>
          <w:szCs w:val="24"/>
          <w:shd w:val="clear" w:color="000000" w:fill="FFFFFF"/>
        </w:rPr>
        <w:br/>
      </w:r>
    </w:p>
    <w:p w14:paraId="2665E30D" w14:textId="77777777" w:rsidR="001B0431" w:rsidRPr="001612E9" w:rsidRDefault="000F547B">
      <w:pPr>
        <w:spacing w:line="480" w:lineRule="auto"/>
        <w:ind w:firstLine="1440"/>
        <w:jc w:val="both"/>
        <w:rPr>
          <w:rFonts w:ascii="Bookman Old Style" w:hAnsi="Bookman Old Style"/>
          <w:sz w:val="24"/>
          <w:szCs w:val="24"/>
        </w:rPr>
      </w:pPr>
      <w:r w:rsidRPr="001612E9">
        <w:rPr>
          <w:rFonts w:ascii="Bookman Old Style" w:hAnsi="Bookman Old Style"/>
          <w:sz w:val="24"/>
          <w:szCs w:val="24"/>
        </w:rPr>
        <w:t>5</w:t>
      </w:r>
      <w:r w:rsidR="002A7BC7" w:rsidRPr="001612E9">
        <w:rPr>
          <w:rFonts w:ascii="Bookman Old Style" w:hAnsi="Bookman Old Style"/>
          <w:sz w:val="24"/>
          <w:szCs w:val="24"/>
        </w:rPr>
        <w:t>.</w:t>
      </w:r>
      <w:r w:rsidR="002A7BC7" w:rsidRPr="001612E9">
        <w:rPr>
          <w:rFonts w:ascii="Bookman Old Style" w:hAnsi="Bookman Old Style"/>
          <w:sz w:val="24"/>
          <w:szCs w:val="24"/>
        </w:rPr>
        <w:tab/>
        <w:t xml:space="preserve">On June 28, 2019, Mr. Schworck objected to all the conditions imposed because they violate the “Free Exercise Clause” of the first amendment to the Constitution which proscribes laws prohibiting the free exercise of religion. </w:t>
      </w:r>
    </w:p>
    <w:p w14:paraId="2DC43D45" w14:textId="77777777" w:rsidR="000F547B" w:rsidRPr="001612E9" w:rsidRDefault="000F547B" w:rsidP="00E82E8F">
      <w:pPr>
        <w:spacing w:line="480" w:lineRule="auto"/>
        <w:ind w:firstLine="1440"/>
        <w:jc w:val="both"/>
        <w:rPr>
          <w:rFonts w:ascii="Bookman Old Style" w:hAnsi="Bookman Old Style"/>
          <w:sz w:val="24"/>
          <w:szCs w:val="24"/>
        </w:rPr>
      </w:pPr>
      <w:r w:rsidRPr="001612E9">
        <w:rPr>
          <w:rFonts w:ascii="Bookman Old Style" w:hAnsi="Bookman Old Style"/>
          <w:sz w:val="24"/>
          <w:szCs w:val="24"/>
        </w:rPr>
        <w:t xml:space="preserve">6. </w:t>
      </w:r>
      <w:r w:rsidRPr="001612E9">
        <w:rPr>
          <w:rFonts w:ascii="Bookman Old Style" w:hAnsi="Bookman Old Style"/>
          <w:sz w:val="24"/>
          <w:szCs w:val="24"/>
        </w:rPr>
        <w:tab/>
      </w:r>
      <w:r w:rsidR="00E82E8F" w:rsidRPr="001612E9">
        <w:rPr>
          <w:rFonts w:ascii="Bookman Old Style" w:hAnsi="Bookman Old Style"/>
          <w:sz w:val="24"/>
          <w:szCs w:val="24"/>
        </w:rPr>
        <w:t xml:space="preserve">This Court is fortunate that it can address an issue that Supreme Court Justice Thomas could not. </w:t>
      </w:r>
      <w:r w:rsidRPr="001612E9">
        <w:rPr>
          <w:rFonts w:ascii="Bookman Old Style" w:hAnsi="Bookman Old Style"/>
          <w:sz w:val="24"/>
          <w:szCs w:val="24"/>
        </w:rPr>
        <w:t>Justice Thomas published a statement</w:t>
      </w:r>
      <w:r w:rsidR="00142349" w:rsidRPr="001612E9">
        <w:rPr>
          <w:rFonts w:ascii="Bookman Old Style" w:hAnsi="Bookman Old Style"/>
          <w:sz w:val="24"/>
          <w:szCs w:val="24"/>
        </w:rPr>
        <w:t xml:space="preserve"> </w:t>
      </w:r>
      <w:r w:rsidR="002A7BC7" w:rsidRPr="001612E9">
        <w:rPr>
          <w:rFonts w:ascii="Bookman Old Style" w:hAnsi="Bookman Old Style"/>
          <w:sz w:val="24"/>
          <w:szCs w:val="24"/>
        </w:rPr>
        <w:t xml:space="preserve">United States </w:t>
      </w:r>
      <w:r w:rsidR="002A7BC7" w:rsidRPr="005B1A56">
        <w:rPr>
          <w:rFonts w:ascii="Bookman Old Style" w:hAnsi="Bookman Old Style"/>
          <w:sz w:val="24"/>
          <w:szCs w:val="24"/>
          <w:highlight w:val="yellow"/>
        </w:rPr>
        <w:t xml:space="preserve">Supreme Court’s June 17, 2021, </w:t>
      </w:r>
      <w:r w:rsidRPr="005B1A56">
        <w:rPr>
          <w:rFonts w:ascii="Bookman Old Style" w:hAnsi="Bookman Old Style"/>
          <w:sz w:val="24"/>
          <w:szCs w:val="24"/>
          <w:highlight w:val="yellow"/>
        </w:rPr>
        <w:t xml:space="preserve">denial of </w:t>
      </w:r>
      <w:r w:rsidR="00E82E8F" w:rsidRPr="005B1A56">
        <w:rPr>
          <w:rFonts w:ascii="Bookman Old Style" w:hAnsi="Bookman Old Style"/>
          <w:sz w:val="24"/>
          <w:szCs w:val="24"/>
          <w:highlight w:val="yellow"/>
        </w:rPr>
        <w:t>a</w:t>
      </w:r>
      <w:r w:rsidRPr="005B1A56">
        <w:rPr>
          <w:rFonts w:ascii="Bookman Old Style" w:hAnsi="Bookman Old Style"/>
          <w:sz w:val="24"/>
          <w:szCs w:val="24"/>
          <w:highlight w:val="yellow"/>
        </w:rPr>
        <w:t xml:space="preserve"> writ of certiorari in </w:t>
      </w:r>
      <w:r w:rsidRPr="005B1A56">
        <w:rPr>
          <w:rFonts w:ascii="Bookman Old Style" w:hAnsi="Bookman Old Style"/>
          <w:highlight w:val="yellow"/>
        </w:rPr>
        <w:t>STANDING AKIMBO, LLC, ET AL., v. UNITED STATES.</w:t>
      </w:r>
      <w:r w:rsidRPr="001612E9">
        <w:rPr>
          <w:rFonts w:ascii="Bookman Old Style" w:hAnsi="Bookman Old Style"/>
        </w:rPr>
        <w:t xml:space="preserve"> </w:t>
      </w:r>
      <w:r w:rsidRPr="001612E9">
        <w:rPr>
          <w:rFonts w:ascii="Bookman Old Style" w:hAnsi="Bookman Old Style"/>
          <w:sz w:val="24"/>
          <w:szCs w:val="24"/>
        </w:rPr>
        <w:t xml:space="preserve"> </w:t>
      </w:r>
      <w:r w:rsidR="00E82E8F" w:rsidRPr="001612E9">
        <w:rPr>
          <w:rFonts w:ascii="Bookman Old Style" w:hAnsi="Bookman Old Style"/>
          <w:sz w:val="24"/>
          <w:szCs w:val="24"/>
        </w:rPr>
        <w:t>Justice Thomas began w</w:t>
      </w:r>
      <w:r w:rsidRPr="001612E9">
        <w:rPr>
          <w:rFonts w:ascii="Bookman Old Style" w:hAnsi="Bookman Old Style"/>
          <w:sz w:val="24"/>
          <w:szCs w:val="24"/>
        </w:rPr>
        <w:t xml:space="preserve">ith the case that enshrined the Government’s compelling interest in prohibiting marijuana: </w:t>
      </w:r>
    </w:p>
    <w:p w14:paraId="5C6F47D9" w14:textId="77777777" w:rsidR="00B03C61" w:rsidRPr="001612E9" w:rsidRDefault="000F547B" w:rsidP="00B03C61">
      <w:pPr>
        <w:ind w:left="1440" w:right="1440"/>
        <w:jc w:val="both"/>
        <w:rPr>
          <w:rFonts w:ascii="Bookman Old Style" w:hAnsi="Bookman Old Style" w:cs="Helvetica"/>
          <w:sz w:val="24"/>
          <w:szCs w:val="24"/>
          <w:shd w:val="clear" w:color="000000" w:fill="FFFFFF"/>
        </w:rPr>
      </w:pPr>
      <w:r w:rsidRPr="001612E9">
        <w:rPr>
          <w:rFonts w:ascii="Bookman Old Style" w:hAnsi="Bookman Old Style" w:cs="Helvetica"/>
          <w:sz w:val="24"/>
          <w:szCs w:val="24"/>
          <w:shd w:val="clear" w:color="000000" w:fill="FFFFFF"/>
        </w:rPr>
        <w:t xml:space="preserve">Sixteen years ago, this Court held that Congress’ power to regulate interstate commerce authorized it “to prohibit the local cultivation and use of marijuana.” </w:t>
      </w:r>
      <w:r w:rsidRPr="001612E9">
        <w:rPr>
          <w:rFonts w:ascii="Bookman Old Style" w:hAnsi="Bookman Old Style" w:cs="Helvetica"/>
          <w:i/>
          <w:iCs/>
          <w:sz w:val="24"/>
          <w:szCs w:val="24"/>
          <w:shd w:val="clear" w:color="000000" w:fill="FFFFFF"/>
        </w:rPr>
        <w:t xml:space="preserve">Gonzales v. </w:t>
      </w:r>
      <w:proofErr w:type="spellStart"/>
      <w:r w:rsidRPr="001612E9">
        <w:rPr>
          <w:rFonts w:ascii="Bookman Old Style" w:hAnsi="Bookman Old Style" w:cs="Helvetica"/>
          <w:i/>
          <w:iCs/>
          <w:sz w:val="24"/>
          <w:szCs w:val="24"/>
          <w:shd w:val="clear" w:color="000000" w:fill="FFFFFF"/>
        </w:rPr>
        <w:t>Raich</w:t>
      </w:r>
      <w:proofErr w:type="spellEnd"/>
      <w:r w:rsidRPr="001612E9">
        <w:rPr>
          <w:rFonts w:ascii="Bookman Old Style" w:hAnsi="Bookman Old Style" w:cs="Helvetica"/>
          <w:sz w:val="24"/>
          <w:szCs w:val="24"/>
          <w:shd w:val="clear" w:color="000000" w:fill="FFFFFF"/>
        </w:rPr>
        <w:t xml:space="preserve">, 545 U. S. 1, 5 (2005). The reason, the Court explained, was that Congress had “enacted comprehensive legislation to regulate the interstate market in a fungible commodity” and that “exemption[s]” for local use could undermine this “comprehensive” regime. Id., at 22–29. The Court stressed that Congress had decided “to prohibit entirely the possession or use of [marijuana]” and had “designate[d] marijuana as contraband for any purpose.” </w:t>
      </w:r>
      <w:r w:rsidRPr="005B1A56">
        <w:rPr>
          <w:rFonts w:ascii="Bookman Old Style" w:hAnsi="Bookman Old Style" w:cs="Helvetica"/>
          <w:i/>
          <w:iCs/>
          <w:sz w:val="24"/>
          <w:szCs w:val="24"/>
          <w:shd w:val="clear" w:color="000000" w:fill="FFFFFF"/>
        </w:rPr>
        <w:t>Id</w:t>
      </w:r>
      <w:r w:rsidRPr="001612E9">
        <w:rPr>
          <w:rFonts w:ascii="Bookman Old Style" w:hAnsi="Bookman Old Style" w:cs="Helvetica"/>
          <w:sz w:val="24"/>
          <w:szCs w:val="24"/>
          <w:shd w:val="clear" w:color="000000" w:fill="FFFFFF"/>
        </w:rPr>
        <w:t xml:space="preserve">., at 24–27 (first emphasis added). Prohibiting any intrastate use was thus, according to the Court, “‘necessary and proper’” to avoid a “gaping hole” in Congress’ “closed regulatory system.” </w:t>
      </w:r>
      <w:r w:rsidRPr="001612E9">
        <w:rPr>
          <w:rFonts w:ascii="Bookman Old Style" w:hAnsi="Bookman Old Style" w:cs="Helvetica"/>
          <w:i/>
          <w:iCs/>
          <w:sz w:val="24"/>
          <w:szCs w:val="24"/>
          <w:shd w:val="clear" w:color="000000" w:fill="FFFFFF"/>
        </w:rPr>
        <w:t>Id</w:t>
      </w:r>
      <w:r w:rsidRPr="001612E9">
        <w:rPr>
          <w:rFonts w:ascii="Bookman Old Style" w:hAnsi="Bookman Old Style" w:cs="Helvetica"/>
          <w:sz w:val="24"/>
          <w:szCs w:val="24"/>
          <w:shd w:val="clear" w:color="000000" w:fill="FFFFFF"/>
        </w:rPr>
        <w:t xml:space="preserve">., at 13, 22 (citing U. S. Const., Art. I, §8). Whatever the merits of </w:t>
      </w:r>
      <w:proofErr w:type="spellStart"/>
      <w:r w:rsidRPr="001612E9">
        <w:rPr>
          <w:rFonts w:ascii="Bookman Old Style" w:hAnsi="Bookman Old Style" w:cs="Helvetica"/>
          <w:i/>
          <w:iCs/>
          <w:sz w:val="24"/>
          <w:szCs w:val="24"/>
          <w:shd w:val="clear" w:color="000000" w:fill="FFFFFF"/>
        </w:rPr>
        <w:t>Raich</w:t>
      </w:r>
      <w:proofErr w:type="spellEnd"/>
      <w:r w:rsidRPr="001612E9">
        <w:rPr>
          <w:rFonts w:ascii="Bookman Old Style" w:hAnsi="Bookman Old Style" w:cs="Helvetica"/>
          <w:sz w:val="24"/>
          <w:szCs w:val="24"/>
          <w:shd w:val="clear" w:color="000000" w:fill="FFFFFF"/>
        </w:rPr>
        <w:t xml:space="preserve"> when it was decided, federal policies of the past 16 years have </w:t>
      </w:r>
      <w:proofErr w:type="gramStart"/>
      <w:r w:rsidRPr="001612E9">
        <w:rPr>
          <w:rFonts w:ascii="Bookman Old Style" w:hAnsi="Bookman Old Style" w:cs="Helvetica"/>
          <w:sz w:val="24"/>
          <w:szCs w:val="24"/>
          <w:shd w:val="clear" w:color="000000" w:fill="FFFFFF"/>
        </w:rPr>
        <w:t>greatly undermined</w:t>
      </w:r>
      <w:proofErr w:type="gramEnd"/>
      <w:r w:rsidRPr="001612E9">
        <w:rPr>
          <w:rFonts w:ascii="Bookman Old Style" w:hAnsi="Bookman Old Style" w:cs="Helvetica"/>
          <w:sz w:val="24"/>
          <w:szCs w:val="24"/>
          <w:shd w:val="clear" w:color="000000" w:fill="FFFFFF"/>
        </w:rPr>
        <w:t xml:space="preserve"> its reasoning. Once comprehensive, the Federal Government’s current approach is a half-in, half-out regime that simultaneously tolerates and forbids local use of marijuana. This contradictory and unstable </w:t>
      </w:r>
      <w:proofErr w:type="gramStart"/>
      <w:r w:rsidRPr="001612E9">
        <w:rPr>
          <w:rFonts w:ascii="Bookman Old Style" w:hAnsi="Bookman Old Style" w:cs="Helvetica"/>
          <w:sz w:val="24"/>
          <w:szCs w:val="24"/>
          <w:shd w:val="clear" w:color="000000" w:fill="FFFFFF"/>
        </w:rPr>
        <w:t>state of affairs</w:t>
      </w:r>
      <w:proofErr w:type="gramEnd"/>
      <w:r w:rsidRPr="001612E9">
        <w:rPr>
          <w:rFonts w:ascii="Bookman Old Style" w:hAnsi="Bookman Old Style" w:cs="Helvetica"/>
          <w:sz w:val="24"/>
          <w:szCs w:val="24"/>
          <w:shd w:val="clear" w:color="000000" w:fill="FFFFFF"/>
        </w:rPr>
        <w:t xml:space="preserve"> strains basic principles of federalism and conceals traps for the unwary.</w:t>
      </w:r>
    </w:p>
    <w:p w14:paraId="34242A1F" w14:textId="77777777" w:rsidR="00437DF1" w:rsidRPr="001612E9" w:rsidRDefault="000F547B" w:rsidP="0020700B">
      <w:pPr>
        <w:spacing w:line="480" w:lineRule="auto"/>
        <w:ind w:firstLine="720"/>
        <w:jc w:val="both"/>
        <w:rPr>
          <w:rFonts w:ascii="Bookman Old Style" w:hAnsi="Bookman Old Style"/>
          <w:color w:val="548DD4" w:themeColor="text2" w:themeTint="99"/>
          <w:sz w:val="24"/>
          <w:szCs w:val="24"/>
        </w:rPr>
      </w:pPr>
      <w:r w:rsidRPr="001612E9">
        <w:rPr>
          <w:rFonts w:ascii="Bookman Old Style" w:hAnsi="Bookman Old Style" w:cs="Helvetica"/>
          <w:sz w:val="24"/>
          <w:szCs w:val="24"/>
          <w:shd w:val="clear" w:color="000000" w:fill="FFFFFF"/>
        </w:rPr>
        <w:br/>
      </w:r>
      <w:r w:rsidR="0020700B" w:rsidRPr="001612E9">
        <w:rPr>
          <w:rFonts w:ascii="Bookman Old Style" w:hAnsi="Bookman Old Style"/>
          <w:sz w:val="24"/>
          <w:szCs w:val="24"/>
        </w:rPr>
        <w:t xml:space="preserve">         </w:t>
      </w:r>
      <w:r w:rsidR="00437DF1" w:rsidRPr="001612E9">
        <w:rPr>
          <w:rFonts w:ascii="Bookman Old Style" w:hAnsi="Bookman Old Style"/>
          <w:sz w:val="24"/>
          <w:szCs w:val="24"/>
        </w:rPr>
        <w:t xml:space="preserve">In addition to expressing his concerns regarding the “…disjuncture between the Government’s recent laissez-faire policies on marijuana and the actual operation of specific laws…” Justice Thomas also addressed equal justice.  His statement touched on the injustices that result from our incoherent policies in relation to our Fourteenth Amendments Equal Protection guarantee.   </w:t>
      </w:r>
    </w:p>
    <w:p w14:paraId="6A70BC61" w14:textId="77777777" w:rsidR="0020700B" w:rsidRPr="001612E9" w:rsidRDefault="000F547B" w:rsidP="0020700B">
      <w:pPr>
        <w:ind w:left="1440" w:right="1440"/>
        <w:jc w:val="both"/>
        <w:rPr>
          <w:rFonts w:ascii="Bookman Old Style" w:hAnsi="Bookman Old Style" w:cs="Helvetica"/>
          <w:sz w:val="24"/>
          <w:szCs w:val="24"/>
          <w:shd w:val="clear" w:color="000000" w:fill="FFFFFF"/>
        </w:rPr>
      </w:pPr>
      <w:r w:rsidRPr="001612E9">
        <w:rPr>
          <w:rFonts w:ascii="Bookman Old Style" w:hAnsi="Bookman Old Style" w:cs="Helvetica"/>
          <w:sz w:val="24"/>
          <w:szCs w:val="24"/>
          <w:shd w:val="clear" w:color="000000" w:fill="FFFFFF"/>
        </w:rPr>
        <w:t>Yet, as petitioners recently discovered, legality under state law and the absence of federal criminal enforcement do not ensure equal treatment.</w:t>
      </w:r>
    </w:p>
    <w:p w14:paraId="01F7BC45" w14:textId="77777777" w:rsidR="000F547B" w:rsidRPr="001612E9" w:rsidRDefault="000F547B" w:rsidP="003D6B79">
      <w:pPr>
        <w:ind w:right="1440"/>
        <w:jc w:val="both"/>
        <w:rPr>
          <w:rFonts w:ascii="Bookman Old Style" w:hAnsi="Bookman Old Style" w:cs="Helvetica"/>
          <w:color w:val="548DD4" w:themeColor="text2" w:themeTint="99"/>
          <w:sz w:val="24"/>
          <w:szCs w:val="24"/>
          <w:shd w:val="clear" w:color="000000" w:fill="FFFFFF"/>
        </w:rPr>
      </w:pPr>
    </w:p>
    <w:p w14:paraId="17FE4D2E" w14:textId="77777777" w:rsidR="003D6B79" w:rsidRPr="001612E9" w:rsidRDefault="003D6B79" w:rsidP="003D6B79">
      <w:pPr>
        <w:ind w:right="1440"/>
        <w:jc w:val="both"/>
        <w:rPr>
          <w:rFonts w:ascii="Bookman Old Style" w:hAnsi="Bookman Old Style" w:cs="Helvetica"/>
          <w:sz w:val="24"/>
          <w:szCs w:val="24"/>
          <w:shd w:val="clear" w:color="000000" w:fill="FFFFFF"/>
        </w:rPr>
      </w:pPr>
      <w:r w:rsidRPr="001612E9">
        <w:rPr>
          <w:rFonts w:ascii="Bookman Old Style" w:hAnsi="Bookman Old Style" w:cs="Helvetica"/>
          <w:sz w:val="24"/>
          <w:szCs w:val="24"/>
          <w:highlight w:val="yellow"/>
          <w:shd w:val="clear" w:color="000000" w:fill="FFFFFF"/>
        </w:rPr>
        <w:t>CITATION TO THOMAS</w:t>
      </w:r>
    </w:p>
    <w:p w14:paraId="11E39457" w14:textId="77777777" w:rsidR="003D6B79" w:rsidRPr="001612E9" w:rsidRDefault="003D6B79" w:rsidP="003D6B79">
      <w:pPr>
        <w:ind w:right="1440"/>
        <w:jc w:val="both"/>
        <w:rPr>
          <w:rFonts w:ascii="Bookman Old Style" w:hAnsi="Bookman Old Style" w:cs="Helvetica"/>
          <w:sz w:val="24"/>
          <w:szCs w:val="24"/>
          <w:shd w:val="clear" w:color="000000" w:fill="FFFFFF"/>
        </w:rPr>
      </w:pPr>
    </w:p>
    <w:p w14:paraId="62BE81AE" w14:textId="77777777" w:rsidR="000C500E" w:rsidRPr="001612E9" w:rsidRDefault="000F547B" w:rsidP="000C500E">
      <w:pPr>
        <w:spacing w:line="480" w:lineRule="auto"/>
        <w:ind w:firstLine="1440"/>
        <w:jc w:val="both"/>
        <w:rPr>
          <w:rFonts w:ascii="Bookman Old Style" w:hAnsi="Bookman Old Style"/>
          <w:sz w:val="24"/>
        </w:rPr>
      </w:pPr>
      <w:r w:rsidRPr="001612E9">
        <w:rPr>
          <w:rFonts w:ascii="Bookman Old Style" w:hAnsi="Bookman Old Style"/>
          <w:sz w:val="24"/>
          <w:szCs w:val="24"/>
        </w:rPr>
        <w:t>6</w:t>
      </w:r>
      <w:r w:rsidR="00201343" w:rsidRPr="001612E9">
        <w:rPr>
          <w:rFonts w:ascii="Bookman Old Style" w:hAnsi="Bookman Old Style"/>
          <w:sz w:val="24"/>
          <w:szCs w:val="24"/>
        </w:rPr>
        <w:t xml:space="preserve">. </w:t>
      </w:r>
      <w:r w:rsidR="007A7E5D" w:rsidRPr="001612E9">
        <w:rPr>
          <w:rFonts w:ascii="Bookman Old Style" w:hAnsi="Bookman Old Style"/>
          <w:sz w:val="24"/>
          <w:szCs w:val="24"/>
        </w:rPr>
        <w:t>Against this background, and</w:t>
      </w:r>
      <w:r w:rsidR="003D6B79" w:rsidRPr="001612E9">
        <w:rPr>
          <w:rFonts w:ascii="Bookman Old Style" w:hAnsi="Bookman Old Style"/>
          <w:sz w:val="24"/>
          <w:szCs w:val="24"/>
        </w:rPr>
        <w:t xml:space="preserve"> </w:t>
      </w:r>
      <w:proofErr w:type="gramStart"/>
      <w:r w:rsidR="003D6B79" w:rsidRPr="001612E9">
        <w:rPr>
          <w:rFonts w:ascii="Bookman Old Style" w:hAnsi="Bookman Old Style"/>
          <w:sz w:val="24"/>
          <w:szCs w:val="24"/>
        </w:rPr>
        <w:t>subsequent to</w:t>
      </w:r>
      <w:proofErr w:type="gramEnd"/>
      <w:r w:rsidR="003D6B79" w:rsidRPr="001612E9">
        <w:rPr>
          <w:rFonts w:ascii="Bookman Old Style" w:hAnsi="Bookman Old Style"/>
          <w:sz w:val="24"/>
          <w:szCs w:val="24"/>
        </w:rPr>
        <w:t xml:space="preserve"> the United States</w:t>
      </w:r>
      <w:r w:rsidR="007A7E5D" w:rsidRPr="001612E9">
        <w:rPr>
          <w:rFonts w:ascii="Bookman Old Style" w:hAnsi="Bookman Old Style"/>
          <w:sz w:val="24"/>
          <w:szCs w:val="24"/>
        </w:rPr>
        <w:t xml:space="preserve"> Supreme Court’s </w:t>
      </w:r>
      <w:r w:rsidR="003D6B79" w:rsidRPr="001612E9">
        <w:rPr>
          <w:rFonts w:ascii="Bookman Old Style" w:hAnsi="Bookman Old Style"/>
          <w:sz w:val="24"/>
          <w:szCs w:val="24"/>
        </w:rPr>
        <w:t>reaffirmation of the law</w:t>
      </w:r>
      <w:r w:rsidR="007A7E5D" w:rsidRPr="001612E9">
        <w:rPr>
          <w:rFonts w:ascii="Bookman Old Style" w:hAnsi="Bookman Old Style"/>
          <w:sz w:val="24"/>
          <w:szCs w:val="24"/>
        </w:rPr>
        <w:t xml:space="preserve"> in </w:t>
      </w:r>
      <w:r w:rsidR="003D6B79" w:rsidRPr="001612E9">
        <w:rPr>
          <w:rFonts w:ascii="Bookman Old Style" w:hAnsi="Bookman Old Style"/>
          <w:i/>
          <w:sz w:val="24"/>
          <w:szCs w:val="24"/>
          <w:highlight w:val="yellow"/>
        </w:rPr>
        <w:t>Fulton v. City of Philadelphia</w:t>
      </w:r>
      <w:r w:rsidR="002A7BC7" w:rsidRPr="001612E9">
        <w:rPr>
          <w:rFonts w:ascii="Bookman Old Style" w:hAnsi="Bookman Old Style"/>
          <w:sz w:val="24"/>
          <w:szCs w:val="24"/>
        </w:rPr>
        <w:t>, Mr.</w:t>
      </w:r>
      <w:r w:rsidR="002A7BC7" w:rsidRPr="001612E9">
        <w:rPr>
          <w:rFonts w:ascii="Bookman Old Style" w:hAnsi="Bookman Old Style"/>
          <w:sz w:val="24"/>
        </w:rPr>
        <w:t xml:space="preserve"> Schworck renews his objections to his special bond condition. </w:t>
      </w:r>
    </w:p>
    <w:p w14:paraId="4181D344" w14:textId="77777777" w:rsidR="001B0431" w:rsidRPr="00984E66" w:rsidRDefault="002A7BC7" w:rsidP="000C500E">
      <w:pPr>
        <w:spacing w:line="480" w:lineRule="auto"/>
        <w:ind w:firstLine="1440"/>
        <w:jc w:val="both"/>
        <w:rPr>
          <w:rFonts w:ascii="Bookman Old Style" w:hAnsi="Bookman Old Style"/>
          <w:sz w:val="24"/>
        </w:rPr>
      </w:pPr>
      <w:r w:rsidRPr="00984E66">
        <w:rPr>
          <w:rFonts w:ascii="Bookman Old Style" w:hAnsi="Bookman Old Style"/>
          <w:sz w:val="24"/>
          <w:szCs w:val="24"/>
        </w:rPr>
        <w:t xml:space="preserve">In </w:t>
      </w:r>
      <w:r w:rsidRPr="00984E66">
        <w:rPr>
          <w:rFonts w:ascii="Bookman Old Style" w:hAnsi="Bookman Old Style"/>
          <w:i/>
          <w:sz w:val="24"/>
          <w:szCs w:val="24"/>
          <w:highlight w:val="yellow"/>
        </w:rPr>
        <w:t>Fulton v. City of Philadelphia</w:t>
      </w:r>
      <w:r w:rsidRPr="00984E66">
        <w:rPr>
          <w:rFonts w:ascii="Bookman Old Style" w:hAnsi="Bookman Old Style"/>
          <w:sz w:val="24"/>
          <w:szCs w:val="24"/>
        </w:rPr>
        <w:t xml:space="preserve">, the Court </w:t>
      </w:r>
      <w:r w:rsidR="005B1A56">
        <w:rPr>
          <w:rFonts w:ascii="Bookman Old Style" w:hAnsi="Bookman Old Style"/>
          <w:sz w:val="24"/>
          <w:szCs w:val="24"/>
        </w:rPr>
        <w:t>held</w:t>
      </w:r>
      <w:r w:rsidR="003D6B79" w:rsidRPr="00984E66">
        <w:rPr>
          <w:rFonts w:ascii="Bookman Old Style" w:hAnsi="Bookman Old Style"/>
          <w:sz w:val="24"/>
          <w:szCs w:val="24"/>
        </w:rPr>
        <w:t xml:space="preserve"> that rather than examining </w:t>
      </w:r>
      <w:r w:rsidR="000C500E" w:rsidRPr="00984E66">
        <w:rPr>
          <w:rFonts w:ascii="Bookman Old Style" w:hAnsi="Bookman Old Style"/>
          <w:sz w:val="24"/>
          <w:szCs w:val="24"/>
        </w:rPr>
        <w:t xml:space="preserve">the validity of </w:t>
      </w:r>
      <w:r w:rsidR="003D6B79" w:rsidRPr="00984E66">
        <w:rPr>
          <w:rFonts w:ascii="Bookman Old Style" w:hAnsi="Bookman Old Style"/>
          <w:sz w:val="24"/>
          <w:szCs w:val="24"/>
        </w:rPr>
        <w:t xml:space="preserve">its holding in </w:t>
      </w:r>
      <w:r w:rsidR="003D6B79" w:rsidRPr="005B1A56">
        <w:rPr>
          <w:rFonts w:ascii="Bookman Old Style" w:hAnsi="Bookman Old Style"/>
          <w:i/>
          <w:iCs/>
          <w:sz w:val="24"/>
          <w:szCs w:val="24"/>
        </w:rPr>
        <w:t>Smith</w:t>
      </w:r>
      <w:r w:rsidR="003D6B79" w:rsidRPr="00984E66">
        <w:rPr>
          <w:rFonts w:ascii="Bookman Old Style" w:hAnsi="Bookman Old Style"/>
          <w:sz w:val="24"/>
          <w:szCs w:val="24"/>
        </w:rPr>
        <w:t xml:space="preserve">, the case could be decided on the narrower issue of the applicability of </w:t>
      </w:r>
      <w:r w:rsidR="003D6B79" w:rsidRPr="00984E66">
        <w:rPr>
          <w:rFonts w:ascii="Bookman Old Style" w:hAnsi="Bookman Old Style"/>
          <w:sz w:val="24"/>
          <w:szCs w:val="24"/>
          <w:highlight w:val="yellow"/>
        </w:rPr>
        <w:t>Smith</w:t>
      </w:r>
      <w:r w:rsidR="000C500E" w:rsidRPr="00984E66">
        <w:rPr>
          <w:rFonts w:ascii="Bookman Old Style" w:hAnsi="Bookman Old Style"/>
          <w:sz w:val="24"/>
          <w:szCs w:val="24"/>
        </w:rPr>
        <w:t xml:space="preserve">.  The Fulton Court began with the holding in </w:t>
      </w:r>
      <w:r w:rsidR="000C500E" w:rsidRPr="005B1A56">
        <w:rPr>
          <w:rFonts w:ascii="Bookman Old Style" w:hAnsi="Bookman Old Style"/>
          <w:i/>
          <w:iCs/>
          <w:sz w:val="24"/>
          <w:szCs w:val="24"/>
        </w:rPr>
        <w:t>Smith</w:t>
      </w:r>
      <w:r w:rsidR="000C500E" w:rsidRPr="00984E66">
        <w:rPr>
          <w:rFonts w:ascii="Bookman Old Style" w:hAnsi="Bookman Old Style"/>
          <w:sz w:val="24"/>
          <w:szCs w:val="24"/>
        </w:rPr>
        <w:t xml:space="preserve">: </w:t>
      </w:r>
    </w:p>
    <w:p w14:paraId="2C92B67D" w14:textId="77777777" w:rsidR="007D5863" w:rsidRPr="001612E9" w:rsidRDefault="002A7BC7" w:rsidP="007A7E5D">
      <w:pPr>
        <w:ind w:left="1440" w:right="1440"/>
        <w:jc w:val="both"/>
        <w:rPr>
          <w:rFonts w:ascii="Bookman Old Style" w:hAnsi="Bookman Old Style"/>
          <w:color w:val="548DD4" w:themeColor="text2" w:themeTint="99"/>
          <w:sz w:val="24"/>
          <w:shd w:val="clear" w:color="000000" w:fill="FFFFFF"/>
        </w:rPr>
      </w:pPr>
      <w:r w:rsidRPr="001612E9">
        <w:rPr>
          <w:rFonts w:ascii="Bookman Old Style" w:hAnsi="Bookman Old Style" w:cs="Helvetica"/>
          <w:i/>
          <w:sz w:val="24"/>
          <w:szCs w:val="24"/>
          <w:highlight w:val="yellow"/>
          <w:shd w:val="clear" w:color="000000" w:fill="FFFFFF"/>
        </w:rPr>
        <w:t>Smith</w:t>
      </w:r>
      <w:r w:rsidRPr="001612E9">
        <w:rPr>
          <w:rFonts w:ascii="Bookman Old Style" w:hAnsi="Bookman Old Style" w:cs="Helvetica"/>
          <w:sz w:val="24"/>
          <w:szCs w:val="24"/>
          <w:shd w:val="clear" w:color="000000" w:fill="FFFFFF"/>
        </w:rPr>
        <w:t xml:space="preserve"> held that </w:t>
      </w:r>
      <w:r w:rsidRPr="001612E9">
        <w:rPr>
          <w:rFonts w:ascii="Bookman Old Style" w:hAnsi="Bookman Old Style"/>
          <w:sz w:val="24"/>
          <w:shd w:val="clear" w:color="000000" w:fill="FFFFFF"/>
        </w:rPr>
        <w:t xml:space="preserve">laws incidentally burdening religion are ordinarily not subject to strict scrutiny under the Free Exercise Clause so long as they are neutral and </w:t>
      </w:r>
      <w:proofErr w:type="gramStart"/>
      <w:r w:rsidRPr="001612E9">
        <w:rPr>
          <w:rFonts w:ascii="Bookman Old Style" w:hAnsi="Bookman Old Style"/>
          <w:sz w:val="24"/>
          <w:shd w:val="clear" w:color="000000" w:fill="FFFFFF"/>
        </w:rPr>
        <w:t>generally applicable</w:t>
      </w:r>
      <w:proofErr w:type="gramEnd"/>
      <w:r w:rsidRPr="001612E9">
        <w:rPr>
          <w:rFonts w:ascii="Bookman Old Style" w:hAnsi="Bookman Old Style"/>
          <w:color w:val="548DD4" w:themeColor="text2" w:themeTint="99"/>
          <w:sz w:val="24"/>
          <w:shd w:val="clear" w:color="000000" w:fill="FFFFFF"/>
        </w:rPr>
        <w:t xml:space="preserve">. </w:t>
      </w:r>
      <w:r w:rsidRPr="001612E9">
        <w:rPr>
          <w:rFonts w:ascii="Bookman Old Style" w:hAnsi="Bookman Old Style" w:cs="Helvetica"/>
          <w:color w:val="548DD4" w:themeColor="text2" w:themeTint="99"/>
          <w:sz w:val="24"/>
          <w:szCs w:val="24"/>
          <w:highlight w:val="yellow"/>
          <w:shd w:val="clear" w:color="000000" w:fill="FFFFFF"/>
        </w:rPr>
        <w:t>494 U. S., at 878-882."</w:t>
      </w:r>
      <w:r w:rsidRPr="001612E9">
        <w:rPr>
          <w:rFonts w:ascii="Bookman Old Style" w:hAnsi="Bookman Old Style" w:cs="Helvetica"/>
          <w:color w:val="548DD4" w:themeColor="text2" w:themeTint="99"/>
          <w:sz w:val="24"/>
          <w:szCs w:val="24"/>
          <w:shd w:val="clear" w:color="000000" w:fill="FFFFFF"/>
        </w:rPr>
        <w:t xml:space="preserve"> </w:t>
      </w:r>
    </w:p>
    <w:p w14:paraId="136FAAA3" w14:textId="77777777" w:rsidR="00A610B7" w:rsidRPr="001612E9" w:rsidRDefault="00201343" w:rsidP="00747F6F">
      <w:pPr>
        <w:ind w:left="720" w:right="1440"/>
        <w:jc w:val="both"/>
        <w:rPr>
          <w:rFonts w:ascii="Bookman Old Style" w:hAnsi="Bookman Old Style" w:cs="Helvetica"/>
          <w:color w:val="222222"/>
          <w:sz w:val="24"/>
          <w:szCs w:val="24"/>
          <w:shd w:val="clear" w:color="000000" w:fill="FFFFFF"/>
        </w:rPr>
      </w:pPr>
      <w:r w:rsidRPr="001612E9">
        <w:rPr>
          <w:rFonts w:ascii="Bookman Old Style" w:hAnsi="Bookman Old Style" w:cs="Helvetica"/>
          <w:color w:val="222222"/>
          <w:sz w:val="24"/>
          <w:szCs w:val="24"/>
          <w:shd w:val="clear" w:color="000000" w:fill="FFFFFF"/>
        </w:rPr>
        <w:t xml:space="preserve"> </w:t>
      </w:r>
    </w:p>
    <w:p w14:paraId="3DF1DECB" w14:textId="77777777" w:rsidR="001B0431" w:rsidRPr="001612E9" w:rsidRDefault="00747F6F">
      <w:pPr>
        <w:spacing w:line="480" w:lineRule="auto"/>
        <w:ind w:firstLine="1440"/>
        <w:jc w:val="both"/>
        <w:rPr>
          <w:rFonts w:ascii="Bookman Old Style" w:hAnsi="Bookman Old Style"/>
          <w:sz w:val="24"/>
        </w:rPr>
      </w:pPr>
      <w:r w:rsidRPr="001612E9">
        <w:rPr>
          <w:rFonts w:ascii="Bookman Old Style" w:hAnsi="Bookman Old Style" w:cs="Helvetica"/>
          <w:sz w:val="24"/>
          <w:szCs w:val="24"/>
          <w:shd w:val="clear" w:color="000000" w:fill="FFFFFF"/>
        </w:rPr>
        <w:t xml:space="preserve">The Fulton Court found that </w:t>
      </w:r>
      <w:r w:rsidR="007D5863" w:rsidRPr="001612E9">
        <w:rPr>
          <w:rFonts w:ascii="Bookman Old Style" w:hAnsi="Bookman Old Style" w:cs="Helvetica"/>
          <w:i/>
          <w:iCs/>
          <w:sz w:val="24"/>
          <w:szCs w:val="24"/>
          <w:shd w:val="clear" w:color="000000" w:fill="FFFFFF"/>
        </w:rPr>
        <w:t>Smith</w:t>
      </w:r>
      <w:r w:rsidR="002A7BC7" w:rsidRPr="001612E9">
        <w:rPr>
          <w:rFonts w:ascii="Bookman Old Style" w:hAnsi="Bookman Old Style"/>
          <w:sz w:val="24"/>
          <w:szCs w:val="24"/>
        </w:rPr>
        <w:t>,</w:t>
      </w:r>
      <w:r w:rsidR="002A7BC7" w:rsidRPr="001612E9">
        <w:rPr>
          <w:rFonts w:ascii="Bookman Old Style" w:hAnsi="Bookman Old Style"/>
          <w:sz w:val="24"/>
        </w:rPr>
        <w:t xml:space="preserve"> by its own terms </w:t>
      </w:r>
      <w:r w:rsidR="003D6B79" w:rsidRPr="001612E9">
        <w:rPr>
          <w:rFonts w:ascii="Bookman Old Style" w:hAnsi="Bookman Old Style"/>
          <w:sz w:val="24"/>
        </w:rPr>
        <w:t>w</w:t>
      </w:r>
      <w:r w:rsidR="002A7BC7" w:rsidRPr="001612E9">
        <w:rPr>
          <w:rFonts w:ascii="Bookman Old Style" w:hAnsi="Bookman Old Style"/>
          <w:sz w:val="24"/>
          <w:szCs w:val="24"/>
        </w:rPr>
        <w:t>as</w:t>
      </w:r>
      <w:r w:rsidR="002A7BC7" w:rsidRPr="001612E9">
        <w:rPr>
          <w:rFonts w:ascii="Bookman Old Style" w:hAnsi="Bookman Old Style"/>
          <w:sz w:val="24"/>
        </w:rPr>
        <w:t xml:space="preserve"> inapplicable</w:t>
      </w:r>
      <w:r w:rsidR="00A610B7" w:rsidRPr="001612E9">
        <w:rPr>
          <w:rFonts w:ascii="Bookman Old Style" w:hAnsi="Bookman Old Style" w:cs="Helvetica"/>
          <w:sz w:val="24"/>
          <w:szCs w:val="24"/>
          <w:shd w:val="clear" w:color="000000" w:fill="FFFFFF"/>
        </w:rPr>
        <w:t xml:space="preserve"> to the controversy before this Court</w:t>
      </w:r>
      <w:r w:rsidR="002A7BC7" w:rsidRPr="001612E9">
        <w:rPr>
          <w:rFonts w:ascii="Bookman Old Style" w:hAnsi="Bookman Old Style"/>
          <w:sz w:val="24"/>
          <w:szCs w:val="24"/>
        </w:rPr>
        <w:t>:</w:t>
      </w:r>
    </w:p>
    <w:p w14:paraId="02FCF8B4" w14:textId="77777777" w:rsidR="00584F31" w:rsidRPr="001612E9" w:rsidRDefault="00E538A8" w:rsidP="007D5863">
      <w:pPr>
        <w:ind w:left="1440" w:right="1440"/>
        <w:jc w:val="both"/>
        <w:rPr>
          <w:rFonts w:ascii="Bookman Old Style" w:hAnsi="Bookman Old Style" w:cs="Helvetica"/>
          <w:b/>
          <w:bCs/>
          <w:color w:val="222222"/>
          <w:sz w:val="24"/>
          <w:szCs w:val="24"/>
          <w:shd w:val="clear" w:color="000000" w:fill="FFFFFF"/>
        </w:rPr>
      </w:pPr>
      <w:r w:rsidRPr="001612E9">
        <w:rPr>
          <w:rFonts w:ascii="Bookman Old Style" w:hAnsi="Bookman Old Style" w:cs="Helvetica"/>
          <w:color w:val="222222"/>
          <w:sz w:val="24"/>
          <w:szCs w:val="24"/>
          <w:shd w:val="clear" w:color="000000" w:fill="FFFFFF"/>
        </w:rPr>
        <w:t xml:space="preserve">As the plurality pointed out in </w:t>
      </w:r>
      <w:r w:rsidR="007D5863" w:rsidRPr="001612E9">
        <w:rPr>
          <w:rFonts w:ascii="Bookman Old Style" w:hAnsi="Bookman Old Style" w:cs="Helvetica"/>
          <w:i/>
          <w:iCs/>
          <w:color w:val="222222"/>
          <w:sz w:val="24"/>
          <w:szCs w:val="24"/>
          <w:shd w:val="clear" w:color="000000" w:fill="FFFFFF"/>
        </w:rPr>
        <w:t>Bowen v. Roy, supra</w:t>
      </w:r>
      <w:r w:rsidR="007D5863" w:rsidRPr="001612E9">
        <w:rPr>
          <w:rFonts w:ascii="Bookman Old Style" w:hAnsi="Bookman Old Style" w:cs="Helvetica"/>
          <w:color w:val="222222"/>
          <w:sz w:val="24"/>
          <w:szCs w:val="24"/>
          <w:shd w:val="clear" w:color="000000" w:fill="FFFFFF"/>
        </w:rPr>
        <w:t xml:space="preserve">, 476 U.S., at 708, 106 </w:t>
      </w:r>
      <w:proofErr w:type="spellStart"/>
      <w:r w:rsidR="007D5863" w:rsidRPr="001612E9">
        <w:rPr>
          <w:rFonts w:ascii="Bookman Old Style" w:hAnsi="Bookman Old Style" w:cs="Helvetica"/>
          <w:color w:val="222222"/>
          <w:sz w:val="24"/>
          <w:szCs w:val="24"/>
          <w:shd w:val="clear" w:color="000000" w:fill="FFFFFF"/>
        </w:rPr>
        <w:t>S.Ct</w:t>
      </w:r>
      <w:proofErr w:type="spellEnd"/>
      <w:r w:rsidR="007D5863" w:rsidRPr="001612E9">
        <w:rPr>
          <w:rFonts w:ascii="Bookman Old Style" w:hAnsi="Bookman Old Style" w:cs="Helvetica"/>
          <w:color w:val="222222"/>
          <w:sz w:val="24"/>
          <w:szCs w:val="24"/>
          <w:shd w:val="clear" w:color="000000" w:fill="FFFFFF"/>
        </w:rPr>
        <w:t xml:space="preserve">., at 2156-57, </w:t>
      </w:r>
      <w:r w:rsidRPr="001612E9">
        <w:rPr>
          <w:rFonts w:ascii="Bookman Old Style" w:hAnsi="Bookman Old Style" w:cs="Helvetica"/>
          <w:color w:val="222222"/>
          <w:sz w:val="24"/>
          <w:szCs w:val="24"/>
          <w:shd w:val="clear" w:color="000000" w:fill="FFFFFF"/>
        </w:rPr>
        <w:t xml:space="preserve">our decisions in the unemployment cases stand for the proposition that </w:t>
      </w:r>
      <w:r w:rsidRPr="001612E9">
        <w:rPr>
          <w:rFonts w:ascii="Bookman Old Style" w:hAnsi="Bookman Old Style" w:cs="Helvetica"/>
          <w:b/>
          <w:bCs/>
          <w:color w:val="222222"/>
          <w:sz w:val="24"/>
          <w:szCs w:val="24"/>
          <w:shd w:val="clear" w:color="000000" w:fill="FFFFFF"/>
        </w:rPr>
        <w:t>where the State has in place a system of individual exemptions, it may not refuse to extend that system to cases of "religious hardship" without compelling reason.</w:t>
      </w:r>
    </w:p>
    <w:p w14:paraId="3DDDB488" w14:textId="77777777" w:rsidR="007D5863" w:rsidRPr="001612E9" w:rsidRDefault="00E538A8" w:rsidP="007D5863">
      <w:pPr>
        <w:ind w:left="1440" w:right="1440"/>
        <w:jc w:val="both"/>
        <w:rPr>
          <w:rFonts w:ascii="Bookman Old Style" w:hAnsi="Bookman Old Style" w:cs="Helvetica"/>
          <w:color w:val="222222"/>
          <w:sz w:val="24"/>
          <w:szCs w:val="24"/>
          <w:shd w:val="clear" w:color="000000" w:fill="FFFFFF"/>
        </w:rPr>
      </w:pPr>
      <w:r w:rsidRPr="001612E9">
        <w:rPr>
          <w:rFonts w:ascii="Bookman Old Style" w:hAnsi="Bookman Old Style" w:cs="Helvetica"/>
          <w:color w:val="222222"/>
          <w:sz w:val="24"/>
          <w:szCs w:val="24"/>
          <w:shd w:val="clear" w:color="000000" w:fill="FFFFFF"/>
        </w:rPr>
        <w:t xml:space="preserve"> </w:t>
      </w:r>
    </w:p>
    <w:p w14:paraId="7D63A683" w14:textId="77777777" w:rsidR="00E538A8" w:rsidRPr="001612E9" w:rsidRDefault="00747F6F" w:rsidP="00584F31">
      <w:pPr>
        <w:spacing w:line="480" w:lineRule="auto"/>
        <w:jc w:val="both"/>
        <w:rPr>
          <w:rFonts w:ascii="Bookman Old Style" w:hAnsi="Bookman Old Style" w:cs="Helvetica"/>
          <w:sz w:val="24"/>
          <w:szCs w:val="24"/>
          <w:shd w:val="clear" w:color="000000" w:fill="FFFFFF"/>
        </w:rPr>
      </w:pPr>
      <w:r w:rsidRPr="001612E9">
        <w:rPr>
          <w:rFonts w:ascii="Bookman Old Style" w:hAnsi="Bookman Old Style" w:cs="Helvetica"/>
          <w:i/>
          <w:iCs/>
          <w:sz w:val="24"/>
          <w:szCs w:val="24"/>
          <w:shd w:val="clear" w:color="000000" w:fill="FFFFFF"/>
        </w:rPr>
        <w:t xml:space="preserve">(emphasis added) </w:t>
      </w:r>
      <w:r w:rsidR="007D5863" w:rsidRPr="001612E9">
        <w:rPr>
          <w:rFonts w:ascii="Bookman Old Style" w:hAnsi="Bookman Old Style" w:cs="Helvetica"/>
          <w:i/>
          <w:iCs/>
          <w:sz w:val="24"/>
          <w:szCs w:val="24"/>
          <w:shd w:val="clear" w:color="000000" w:fill="FFFFFF"/>
        </w:rPr>
        <w:t>Smith</w:t>
      </w:r>
      <w:r w:rsidR="007D5863" w:rsidRPr="001612E9">
        <w:rPr>
          <w:rFonts w:ascii="Bookman Old Style" w:hAnsi="Bookman Old Style" w:cs="Helvetica"/>
          <w:sz w:val="24"/>
          <w:szCs w:val="24"/>
          <w:shd w:val="clear" w:color="000000" w:fill="FFFFFF"/>
        </w:rPr>
        <w:t xml:space="preserve"> at 884</w:t>
      </w:r>
    </w:p>
    <w:p w14:paraId="72F7F004" w14:textId="77777777" w:rsidR="005663E2" w:rsidRPr="001612E9" w:rsidRDefault="005663E2" w:rsidP="005663E2">
      <w:pPr>
        <w:spacing w:line="480" w:lineRule="auto"/>
        <w:ind w:firstLine="1440"/>
        <w:jc w:val="both"/>
        <w:rPr>
          <w:rFonts w:ascii="Bookman Old Style" w:hAnsi="Bookman Old Style" w:cs="Helvetica"/>
          <w:sz w:val="24"/>
          <w:szCs w:val="24"/>
          <w:shd w:val="clear" w:color="000000" w:fill="FFFFFF"/>
        </w:rPr>
      </w:pPr>
      <w:r w:rsidRPr="001612E9">
        <w:rPr>
          <w:rFonts w:ascii="Bookman Old Style" w:hAnsi="Bookman Old Style" w:cs="Helvetica"/>
          <w:sz w:val="24"/>
          <w:szCs w:val="24"/>
          <w:shd w:val="clear" w:color="000000" w:fill="FFFFFF"/>
        </w:rPr>
        <w:t xml:space="preserve">Just as Justice Thomas explains infra, the government’s enforcement of marijuana laws has undermined the reasoning in </w:t>
      </w:r>
      <w:r w:rsidRPr="001612E9">
        <w:rPr>
          <w:rFonts w:ascii="Bookman Old Style" w:hAnsi="Bookman Old Style" w:cs="Helvetica"/>
          <w:i/>
          <w:iCs/>
          <w:sz w:val="24"/>
          <w:szCs w:val="24"/>
          <w:shd w:val="clear" w:color="000000" w:fill="FFFFFF"/>
        </w:rPr>
        <w:t>Smith</w:t>
      </w:r>
      <w:r w:rsidRPr="001612E9">
        <w:rPr>
          <w:rFonts w:ascii="Bookman Old Style" w:hAnsi="Bookman Old Style" w:cs="Helvetica"/>
          <w:sz w:val="24"/>
          <w:szCs w:val="24"/>
          <w:shd w:val="clear" w:color="000000" w:fill="FFFFFF"/>
        </w:rPr>
        <w:t>, over the years. Likewise, the reasoning in Smith is inapplicable to the case before this Court.</w:t>
      </w:r>
    </w:p>
    <w:p w14:paraId="2CBFB02E" w14:textId="77777777" w:rsidR="0072234D" w:rsidRPr="001612E9" w:rsidRDefault="0072234D" w:rsidP="005663E2">
      <w:pPr>
        <w:spacing w:line="480" w:lineRule="auto"/>
        <w:ind w:firstLine="1440"/>
        <w:jc w:val="both"/>
        <w:rPr>
          <w:rFonts w:ascii="Bookman Old Style" w:hAnsi="Bookman Old Style" w:cs="Helvetica"/>
          <w:sz w:val="24"/>
          <w:szCs w:val="24"/>
          <w:shd w:val="clear" w:color="000000" w:fill="FFFFFF"/>
        </w:rPr>
      </w:pPr>
      <w:r w:rsidRPr="001612E9">
        <w:rPr>
          <w:rFonts w:ascii="Bookman Old Style" w:hAnsi="Bookman Old Style"/>
          <w:sz w:val="24"/>
          <w:szCs w:val="24"/>
        </w:rPr>
        <w:t>The DEA provides, “Guidance Regarding Petitions for Religious Exemption from the Controlled Substances Act Pursuant to the Religious Freedom Restoration Act” (Attachment “A”) which clearly indicates that the government continues to exercise the discretion to grant religious exemptions regarding controlled substances.</w:t>
      </w:r>
      <w:r w:rsidRPr="001612E9">
        <w:rPr>
          <w:rStyle w:val="FootnoteReference"/>
          <w:rFonts w:ascii="Bookman Old Style" w:hAnsi="Bookman Old Style" w:cs="Helvetica"/>
          <w:sz w:val="24"/>
          <w:szCs w:val="24"/>
          <w:shd w:val="clear" w:color="000000" w:fill="FFFFFF"/>
        </w:rPr>
        <w:footnoteReference w:id="2"/>
      </w:r>
    </w:p>
    <w:p w14:paraId="50D6AFC0" w14:textId="77777777" w:rsidR="00E538A8" w:rsidRPr="001612E9" w:rsidRDefault="00E538A8" w:rsidP="00584F31">
      <w:pPr>
        <w:ind w:left="1440" w:right="1440"/>
        <w:jc w:val="both"/>
        <w:rPr>
          <w:rFonts w:ascii="Bookman Old Style" w:hAnsi="Bookman Old Style" w:cs="Helvetica"/>
          <w:color w:val="222222"/>
          <w:sz w:val="24"/>
          <w:szCs w:val="24"/>
          <w:shd w:val="clear" w:color="000000" w:fill="FFFFFF"/>
        </w:rPr>
      </w:pPr>
      <w:r w:rsidRPr="001612E9">
        <w:rPr>
          <w:rFonts w:ascii="Bookman Old Style" w:hAnsi="Bookman Old Style" w:cs="Helvetica"/>
          <w:color w:val="222222"/>
          <w:sz w:val="24"/>
          <w:szCs w:val="24"/>
          <w:shd w:val="clear" w:color="000000" w:fill="FFFFFF"/>
        </w:rPr>
        <w:t xml:space="preserve">Whether or not the decisions are that limited, they at least have nothing to do with an across-the-board criminal prohibition on a </w:t>
      </w:r>
      <w:proofErr w:type="gramStart"/>
      <w:r w:rsidRPr="001612E9">
        <w:rPr>
          <w:rFonts w:ascii="Bookman Old Style" w:hAnsi="Bookman Old Style" w:cs="Helvetica"/>
          <w:color w:val="222222"/>
          <w:sz w:val="24"/>
          <w:szCs w:val="24"/>
          <w:shd w:val="clear" w:color="000000" w:fill="FFFFFF"/>
        </w:rPr>
        <w:t>particular form</w:t>
      </w:r>
      <w:proofErr w:type="gramEnd"/>
      <w:r w:rsidRPr="001612E9">
        <w:rPr>
          <w:rFonts w:ascii="Bookman Old Style" w:hAnsi="Bookman Old Style" w:cs="Helvetica"/>
          <w:color w:val="222222"/>
          <w:sz w:val="24"/>
          <w:szCs w:val="24"/>
          <w:shd w:val="clear" w:color="000000" w:fill="FFFFFF"/>
        </w:rPr>
        <w:t xml:space="preserve"> of conduct.</w:t>
      </w:r>
      <w:r w:rsidR="00584F31" w:rsidRPr="001612E9">
        <w:rPr>
          <w:rFonts w:ascii="Bookman Old Style" w:hAnsi="Bookman Old Style" w:cs="Helvetica"/>
          <w:color w:val="222222"/>
          <w:sz w:val="24"/>
          <w:szCs w:val="24"/>
          <w:shd w:val="clear" w:color="000000" w:fill="FFFFFF"/>
        </w:rPr>
        <w:t xml:space="preserve"> </w:t>
      </w:r>
    </w:p>
    <w:p w14:paraId="572126D3" w14:textId="77777777" w:rsidR="00584F31" w:rsidRPr="001612E9" w:rsidRDefault="00584F31" w:rsidP="00584F31">
      <w:pPr>
        <w:ind w:right="1440"/>
        <w:jc w:val="both"/>
        <w:rPr>
          <w:rFonts w:ascii="Bookman Old Style" w:hAnsi="Bookman Old Style" w:cs="Helvetica"/>
          <w:color w:val="222222"/>
          <w:sz w:val="24"/>
          <w:szCs w:val="24"/>
          <w:shd w:val="clear" w:color="000000" w:fill="FFFFFF"/>
        </w:rPr>
      </w:pPr>
    </w:p>
    <w:p w14:paraId="2DDB50D5" w14:textId="77777777" w:rsidR="00584F31" w:rsidRPr="001612E9" w:rsidRDefault="00584F31" w:rsidP="00584F31">
      <w:pPr>
        <w:ind w:right="1440"/>
        <w:jc w:val="both"/>
        <w:rPr>
          <w:rFonts w:ascii="Bookman Old Style" w:hAnsi="Bookman Old Style" w:cs="Helvetica"/>
          <w:i/>
          <w:iCs/>
          <w:color w:val="222222"/>
          <w:sz w:val="24"/>
          <w:szCs w:val="24"/>
          <w:shd w:val="clear" w:color="000000" w:fill="FFFFFF"/>
        </w:rPr>
      </w:pPr>
      <w:r w:rsidRPr="00984E66">
        <w:rPr>
          <w:rFonts w:ascii="Bookman Old Style" w:hAnsi="Bookman Old Style" w:cs="Helvetica"/>
          <w:i/>
          <w:iCs/>
          <w:color w:val="222222"/>
          <w:sz w:val="24"/>
          <w:szCs w:val="24"/>
          <w:highlight w:val="yellow"/>
          <w:shd w:val="clear" w:color="000000" w:fill="FFFFFF"/>
        </w:rPr>
        <w:t>Id</w:t>
      </w:r>
      <w:r w:rsidRPr="001612E9">
        <w:rPr>
          <w:rFonts w:ascii="Bookman Old Style" w:hAnsi="Bookman Old Style" w:cs="Helvetica"/>
          <w:i/>
          <w:iCs/>
          <w:color w:val="222222"/>
          <w:sz w:val="24"/>
          <w:szCs w:val="24"/>
          <w:shd w:val="clear" w:color="000000" w:fill="FFFFFF"/>
        </w:rPr>
        <w:t>.</w:t>
      </w:r>
    </w:p>
    <w:p w14:paraId="51B8CF99" w14:textId="77777777" w:rsidR="005663E2" w:rsidRPr="001612E9" w:rsidRDefault="005663E2" w:rsidP="00584F31">
      <w:pPr>
        <w:ind w:right="1440"/>
        <w:jc w:val="both"/>
        <w:rPr>
          <w:rFonts w:ascii="Bookman Old Style" w:hAnsi="Bookman Old Style" w:cs="Helvetica"/>
          <w:i/>
          <w:iCs/>
          <w:color w:val="222222"/>
          <w:sz w:val="24"/>
          <w:szCs w:val="24"/>
          <w:shd w:val="clear" w:color="000000" w:fill="FFFFFF"/>
        </w:rPr>
      </w:pPr>
    </w:p>
    <w:p w14:paraId="3A0100B7" w14:textId="77777777" w:rsidR="005663E2" w:rsidRPr="001612E9" w:rsidRDefault="005663E2" w:rsidP="00584F31">
      <w:pPr>
        <w:ind w:right="1440"/>
        <w:jc w:val="both"/>
        <w:rPr>
          <w:rFonts w:ascii="Bookman Old Style" w:hAnsi="Bookman Old Style" w:cs="Helvetica"/>
          <w:i/>
          <w:iCs/>
          <w:color w:val="222222"/>
          <w:sz w:val="24"/>
          <w:szCs w:val="24"/>
          <w:shd w:val="clear" w:color="000000" w:fill="FFFFFF"/>
        </w:rPr>
      </w:pPr>
    </w:p>
    <w:p w14:paraId="5385480B" w14:textId="77777777" w:rsidR="0072234D" w:rsidRPr="001612E9" w:rsidRDefault="0072234D" w:rsidP="00584F31">
      <w:pPr>
        <w:ind w:right="1440"/>
        <w:jc w:val="both"/>
        <w:rPr>
          <w:rFonts w:ascii="Bookman Old Style" w:hAnsi="Bookman Old Style" w:cs="Helvetica"/>
          <w:i/>
          <w:iCs/>
          <w:color w:val="222222"/>
          <w:sz w:val="24"/>
          <w:szCs w:val="24"/>
          <w:shd w:val="clear" w:color="000000" w:fill="FFFFFF"/>
        </w:rPr>
      </w:pPr>
    </w:p>
    <w:p w14:paraId="3B29A67D" w14:textId="77777777" w:rsidR="004E58EE" w:rsidRPr="007C1AC3" w:rsidRDefault="005663E2" w:rsidP="004E58EE">
      <w:pPr>
        <w:spacing w:line="480" w:lineRule="auto"/>
        <w:ind w:firstLine="720"/>
        <w:jc w:val="both"/>
        <w:rPr>
          <w:rFonts w:ascii="Bookman Old Style" w:hAnsi="Bookman Old Style" w:cs="Helvetica"/>
          <w:sz w:val="24"/>
          <w:szCs w:val="24"/>
          <w:shd w:val="clear" w:color="000000" w:fill="FFFFFF"/>
        </w:rPr>
      </w:pPr>
      <w:r w:rsidRPr="007C1AC3">
        <w:rPr>
          <w:rFonts w:ascii="Bookman Old Style" w:hAnsi="Bookman Old Style" w:cs="Helvetica"/>
          <w:sz w:val="24"/>
          <w:szCs w:val="24"/>
          <w:shd w:val="clear" w:color="000000" w:fill="FFFFFF"/>
        </w:rPr>
        <w:t>Clearly there is no across the board prohibition on marijuana</w:t>
      </w:r>
      <w:r w:rsidR="00A04DC3" w:rsidRPr="007C1AC3">
        <w:rPr>
          <w:rFonts w:ascii="Bookman Old Style" w:hAnsi="Bookman Old Style" w:cs="Helvetica"/>
          <w:sz w:val="24"/>
          <w:szCs w:val="24"/>
          <w:shd w:val="clear" w:color="000000" w:fill="FFFFFF"/>
        </w:rPr>
        <w:t xml:space="preserve"> under federal law.  Likewise, </w:t>
      </w:r>
      <w:r w:rsidR="00DD0DA5">
        <w:rPr>
          <w:rFonts w:ascii="Bookman Old Style" w:hAnsi="Bookman Old Style" w:cs="Helvetica"/>
          <w:sz w:val="24"/>
          <w:szCs w:val="24"/>
          <w:shd w:val="clear" w:color="000000" w:fill="FFFFFF"/>
        </w:rPr>
        <w:t>there are exemptions</w:t>
      </w:r>
      <w:r w:rsidR="00A04DC3" w:rsidRPr="007C1AC3">
        <w:rPr>
          <w:rFonts w:ascii="Bookman Old Style" w:hAnsi="Bookman Old Style" w:cs="Helvetica"/>
          <w:sz w:val="24"/>
          <w:szCs w:val="24"/>
          <w:shd w:val="clear" w:color="000000" w:fill="FFFFFF"/>
        </w:rPr>
        <w:t xml:space="preserve"> under Wisconsin law, see Wis. Stat. § 961.115 “Native American Church Exemption</w:t>
      </w:r>
      <w:r w:rsidR="004E58EE" w:rsidRPr="007C1AC3">
        <w:rPr>
          <w:rFonts w:ascii="Bookman Old Style" w:hAnsi="Bookman Old Style" w:cs="Helvetica"/>
          <w:sz w:val="24"/>
          <w:szCs w:val="24"/>
          <w:shd w:val="clear" w:color="000000" w:fill="FFFFFF"/>
        </w:rPr>
        <w:t xml:space="preserve">. </w:t>
      </w:r>
      <w:r w:rsidR="00DD0DA5">
        <w:rPr>
          <w:rFonts w:ascii="Bookman Old Style" w:hAnsi="Bookman Old Style" w:cs="Helvetica"/>
          <w:sz w:val="24"/>
          <w:szCs w:val="24"/>
          <w:shd w:val="clear" w:color="000000" w:fill="FFFFFF"/>
        </w:rPr>
        <w:t xml:space="preserve">Defending a similar </w:t>
      </w:r>
      <w:proofErr w:type="gramStart"/>
      <w:r w:rsidR="00DD0DA5">
        <w:rPr>
          <w:rFonts w:ascii="Bookman Old Style" w:hAnsi="Bookman Old Style" w:cs="Helvetica"/>
          <w:sz w:val="24"/>
          <w:szCs w:val="24"/>
          <w:shd w:val="clear" w:color="000000" w:fill="FFFFFF"/>
        </w:rPr>
        <w:t>statute</w:t>
      </w:r>
      <w:proofErr w:type="gramEnd"/>
      <w:r w:rsidR="00DD0DA5">
        <w:rPr>
          <w:rFonts w:ascii="Bookman Old Style" w:hAnsi="Bookman Old Style" w:cs="Helvetica"/>
          <w:sz w:val="24"/>
          <w:szCs w:val="24"/>
          <w:shd w:val="clear" w:color="000000" w:fill="FFFFFF"/>
        </w:rPr>
        <w:t xml:space="preserve"> the</w:t>
      </w:r>
      <w:r w:rsidR="00984E66" w:rsidRPr="007C1AC3">
        <w:rPr>
          <w:rFonts w:ascii="Bookman Old Style" w:hAnsi="Bookman Old Style" w:cs="Helvetica"/>
          <w:sz w:val="24"/>
          <w:szCs w:val="24"/>
          <w:shd w:val="clear" w:color="000000" w:fill="FFFFFF"/>
        </w:rPr>
        <w:t xml:space="preserve"> DEA </w:t>
      </w:r>
      <w:r w:rsidR="004E58EE" w:rsidRPr="007C1AC3">
        <w:rPr>
          <w:rFonts w:ascii="Bookman Old Style" w:hAnsi="Bookman Old Style" w:cs="Helvetica"/>
          <w:sz w:val="24"/>
          <w:szCs w:val="24"/>
          <w:shd w:val="clear" w:color="000000" w:fill="FFFFFF"/>
        </w:rPr>
        <w:t>explain</w:t>
      </w:r>
      <w:r w:rsidR="00984E66" w:rsidRPr="007C1AC3">
        <w:rPr>
          <w:rFonts w:ascii="Bookman Old Style" w:hAnsi="Bookman Old Style" w:cs="Helvetica"/>
          <w:sz w:val="24"/>
          <w:szCs w:val="24"/>
          <w:shd w:val="clear" w:color="000000" w:fill="FFFFFF"/>
        </w:rPr>
        <w:t>ed</w:t>
      </w:r>
      <w:r w:rsidR="004E58EE" w:rsidRPr="007C1AC3">
        <w:rPr>
          <w:rFonts w:ascii="Bookman Old Style" w:hAnsi="Bookman Old Style" w:cs="Helvetica"/>
          <w:sz w:val="24"/>
          <w:szCs w:val="24"/>
          <w:shd w:val="clear" w:color="000000" w:fill="FFFFFF"/>
        </w:rPr>
        <w:t xml:space="preserve"> in its page addressing “Peyote Exemption for Native American Church.</w:t>
      </w:r>
      <w:r w:rsidR="00984E66" w:rsidRPr="007C1AC3">
        <w:rPr>
          <w:rFonts w:ascii="Bookman Old Style" w:hAnsi="Bookman Old Style" w:cs="Helvetica"/>
          <w:sz w:val="24"/>
          <w:szCs w:val="24"/>
          <w:shd w:val="clear" w:color="000000" w:fill="FFFFFF"/>
        </w:rPr>
        <w:t>”</w:t>
      </w:r>
      <w:r w:rsidR="004E58EE" w:rsidRPr="007C1AC3">
        <w:rPr>
          <w:rFonts w:ascii="Bookman Old Style" w:hAnsi="Bookman Old Style" w:cs="Helvetica"/>
          <w:sz w:val="24"/>
          <w:szCs w:val="24"/>
          <w:shd w:val="clear" w:color="000000" w:fill="FFFFFF"/>
        </w:rPr>
        <w:t xml:space="preserve"> </w:t>
      </w:r>
    </w:p>
    <w:p w14:paraId="47E4D0BE" w14:textId="77777777" w:rsidR="004E58EE" w:rsidRPr="007C1AC3" w:rsidRDefault="004E58EE" w:rsidP="004E58EE">
      <w:pPr>
        <w:ind w:left="1440" w:right="1440"/>
        <w:jc w:val="both"/>
        <w:rPr>
          <w:rFonts w:ascii="Bookman Old Style" w:hAnsi="Bookman Old Style" w:cs="Helvetica"/>
          <w:b/>
          <w:bCs/>
          <w:sz w:val="24"/>
          <w:szCs w:val="24"/>
          <w:shd w:val="clear" w:color="000000" w:fill="FFFFFF"/>
        </w:rPr>
      </w:pPr>
      <w:r w:rsidRPr="007C1AC3">
        <w:rPr>
          <w:rFonts w:ascii="Bookman Old Style" w:hAnsi="Bookman Old Style" w:cs="Helvetica"/>
          <w:sz w:val="24"/>
          <w:szCs w:val="24"/>
          <w:shd w:val="clear" w:color="000000" w:fill="FFFFFF"/>
        </w:rPr>
        <w:t xml:space="preserve">A statutory exemption limited to the NAC, to the exclusion of other religions whose use of peyote is central to established religious beliefs or practices, would be unconstitutional under the Establishment Clause if it discriminated among otherwise equally situated religions. No different conclusion would be required because the “preferred” religion is composed of American Indians, since the special treatment of Indians under our law is grounded in their unique status as political entities, not in their religion or culture. </w:t>
      </w:r>
      <w:r w:rsidRPr="007C1AC3">
        <w:rPr>
          <w:rFonts w:ascii="Bookman Old Style" w:hAnsi="Bookman Old Style" w:cs="Helvetica"/>
          <w:b/>
          <w:bCs/>
          <w:sz w:val="24"/>
          <w:szCs w:val="24"/>
          <w:shd w:val="clear" w:color="000000" w:fill="FFFFFF"/>
        </w:rPr>
        <w:t>On the other hand, since no group other than the NAC is likely to be able to establish its entitlement to the exemption, the DEA would be justified in adopting procedures designed to minimize the administrative burdens of extending the exemption to other groups.</w:t>
      </w:r>
      <w:r w:rsidRPr="007C1AC3">
        <w:rPr>
          <w:rStyle w:val="FootnoteReference"/>
          <w:rFonts w:ascii="Bookman Old Style" w:hAnsi="Bookman Old Style" w:cs="Helvetica"/>
          <w:b/>
          <w:bCs/>
          <w:sz w:val="24"/>
          <w:szCs w:val="24"/>
          <w:shd w:val="clear" w:color="000000" w:fill="FFFFFF"/>
        </w:rPr>
        <w:footnoteReference w:id="3"/>
      </w:r>
    </w:p>
    <w:p w14:paraId="3028DFDE" w14:textId="77777777" w:rsidR="004E58EE" w:rsidRPr="001612E9" w:rsidRDefault="004E58EE" w:rsidP="004E58EE">
      <w:pPr>
        <w:spacing w:line="480" w:lineRule="auto"/>
        <w:ind w:firstLine="720"/>
        <w:jc w:val="both"/>
        <w:rPr>
          <w:rFonts w:ascii="Bookman Old Style" w:hAnsi="Bookman Old Style" w:cs="Helvetica"/>
          <w:sz w:val="24"/>
          <w:szCs w:val="24"/>
          <w:shd w:val="clear" w:color="000000" w:fill="FFFFFF"/>
        </w:rPr>
      </w:pPr>
    </w:p>
    <w:p w14:paraId="2B210F22" w14:textId="77777777" w:rsidR="004F152D" w:rsidRPr="00DD0DA5" w:rsidRDefault="006677E8" w:rsidP="004F152D">
      <w:pPr>
        <w:spacing w:line="480" w:lineRule="auto"/>
        <w:ind w:firstLine="720"/>
        <w:jc w:val="both"/>
        <w:rPr>
          <w:rFonts w:ascii="Bookman Old Style" w:hAnsi="Bookman Old Style" w:cs="Helvetica"/>
          <w:sz w:val="24"/>
          <w:szCs w:val="24"/>
          <w:shd w:val="clear" w:color="000000" w:fill="FFFFFF"/>
        </w:rPr>
      </w:pPr>
      <w:r w:rsidRPr="00DD0DA5">
        <w:rPr>
          <w:rFonts w:ascii="Bookman Old Style" w:hAnsi="Bookman Old Style" w:cs="Helvetica"/>
          <w:sz w:val="24"/>
          <w:szCs w:val="24"/>
          <w:shd w:val="clear" w:color="000000" w:fill="FFFFFF"/>
        </w:rPr>
        <w:t xml:space="preserve">Wisconsin </w:t>
      </w:r>
      <w:r w:rsidR="00984E66" w:rsidRPr="00DD0DA5">
        <w:rPr>
          <w:rFonts w:ascii="Bookman Old Style" w:hAnsi="Bookman Old Style" w:cs="Helvetica"/>
          <w:sz w:val="24"/>
          <w:szCs w:val="24"/>
          <w:shd w:val="clear" w:color="000000" w:fill="FFFFFF"/>
        </w:rPr>
        <w:t xml:space="preserve">also asserts </w:t>
      </w:r>
      <w:r w:rsidRPr="00DD0DA5">
        <w:rPr>
          <w:rFonts w:ascii="Bookman Old Style" w:hAnsi="Bookman Old Style" w:cs="Helvetica"/>
          <w:sz w:val="24"/>
          <w:szCs w:val="24"/>
          <w:shd w:val="clear" w:color="000000" w:fill="FFFFFF"/>
        </w:rPr>
        <w:t xml:space="preserve">a non-discriminatory basis </w:t>
      </w:r>
      <w:r w:rsidR="00DD0DA5">
        <w:rPr>
          <w:rFonts w:ascii="Bookman Old Style" w:hAnsi="Bookman Old Style" w:cs="Helvetica"/>
          <w:sz w:val="24"/>
          <w:szCs w:val="24"/>
          <w:shd w:val="clear" w:color="000000" w:fill="FFFFFF"/>
        </w:rPr>
        <w:t xml:space="preserve">exists </w:t>
      </w:r>
      <w:r w:rsidRPr="00DD0DA5">
        <w:rPr>
          <w:rFonts w:ascii="Bookman Old Style" w:hAnsi="Bookman Old Style" w:cs="Helvetica"/>
          <w:sz w:val="24"/>
          <w:szCs w:val="24"/>
          <w:shd w:val="clear" w:color="000000" w:fill="FFFFFF"/>
        </w:rPr>
        <w:t>to exempt indigenous religions and deny all other</w:t>
      </w:r>
      <w:r w:rsidR="00DD0DA5">
        <w:rPr>
          <w:rFonts w:ascii="Bookman Old Style" w:hAnsi="Bookman Old Style" w:cs="Helvetica"/>
          <w:sz w:val="24"/>
          <w:szCs w:val="24"/>
          <w:shd w:val="clear" w:color="000000" w:fill="FFFFFF"/>
        </w:rPr>
        <w:t>s</w:t>
      </w:r>
      <w:r w:rsidRPr="00DD0DA5">
        <w:rPr>
          <w:rFonts w:ascii="Bookman Old Style" w:hAnsi="Bookman Old Style" w:cs="Helvetica"/>
          <w:sz w:val="24"/>
          <w:szCs w:val="24"/>
          <w:shd w:val="clear" w:color="000000" w:fill="FFFFFF"/>
        </w:rPr>
        <w:t xml:space="preserve">. </w:t>
      </w:r>
      <w:r w:rsidR="00984E66" w:rsidRPr="00DD0DA5">
        <w:rPr>
          <w:rFonts w:ascii="Bookman Old Style" w:hAnsi="Bookman Old Style" w:cs="Helvetica"/>
          <w:sz w:val="24"/>
          <w:szCs w:val="24"/>
          <w:shd w:val="clear" w:color="000000" w:fill="FFFFFF"/>
        </w:rPr>
        <w:t xml:space="preserve">Wisconsin’s like the United States’ </w:t>
      </w:r>
      <w:r w:rsidRPr="00DD0DA5">
        <w:rPr>
          <w:rFonts w:ascii="Bookman Old Style" w:hAnsi="Bookman Old Style" w:cs="Helvetica"/>
          <w:sz w:val="24"/>
          <w:szCs w:val="24"/>
          <w:shd w:val="clear" w:color="000000" w:fill="FFFFFF"/>
        </w:rPr>
        <w:t>assert</w:t>
      </w:r>
      <w:r w:rsidR="004F152D" w:rsidRPr="00DD0DA5">
        <w:rPr>
          <w:rFonts w:ascii="Bookman Old Style" w:hAnsi="Bookman Old Style" w:cs="Helvetica"/>
          <w:sz w:val="24"/>
          <w:szCs w:val="24"/>
          <w:shd w:val="clear" w:color="000000" w:fill="FFFFFF"/>
        </w:rPr>
        <w:t xml:space="preserve">ion that the law </w:t>
      </w:r>
      <w:r w:rsidR="00733F4F" w:rsidRPr="00DD0DA5">
        <w:rPr>
          <w:rFonts w:ascii="Bookman Old Style" w:hAnsi="Bookman Old Style" w:cs="Helvetica"/>
          <w:sz w:val="24"/>
          <w:szCs w:val="24"/>
          <w:shd w:val="clear" w:color="000000" w:fill="FFFFFF"/>
        </w:rPr>
        <w:t>was not</w:t>
      </w:r>
      <w:r w:rsidR="004F152D" w:rsidRPr="00DD0DA5">
        <w:rPr>
          <w:rFonts w:ascii="Bookman Old Style" w:hAnsi="Bookman Old Style" w:cs="Helvetica"/>
          <w:sz w:val="24"/>
          <w:szCs w:val="24"/>
          <w:shd w:val="clear" w:color="000000" w:fill="FFFFFF"/>
        </w:rPr>
        <w:t xml:space="preserve"> discriminat</w:t>
      </w:r>
      <w:r w:rsidR="00733F4F" w:rsidRPr="00DD0DA5">
        <w:rPr>
          <w:rFonts w:ascii="Bookman Old Style" w:hAnsi="Bookman Old Style" w:cs="Helvetica"/>
          <w:sz w:val="24"/>
          <w:szCs w:val="24"/>
          <w:shd w:val="clear" w:color="000000" w:fill="FFFFFF"/>
        </w:rPr>
        <w:t xml:space="preserve">ory is as amusing as it is false.  The truth was laid bare in United </w:t>
      </w:r>
      <w:r w:rsidR="00733F4F" w:rsidRPr="00DD0DA5">
        <w:rPr>
          <w:rFonts w:ascii="Bookman Old Style" w:hAnsi="Bookman Old Style" w:cs="Helvetica"/>
          <w:sz w:val="24"/>
          <w:szCs w:val="24"/>
          <w:highlight w:val="yellow"/>
          <w:shd w:val="clear" w:color="000000" w:fill="FFFFFF"/>
        </w:rPr>
        <w:t xml:space="preserve">States v. </w:t>
      </w:r>
      <w:proofErr w:type="spellStart"/>
      <w:r w:rsidR="00733F4F" w:rsidRPr="00DD0DA5">
        <w:rPr>
          <w:rFonts w:ascii="Bookman Old Style" w:hAnsi="Bookman Old Style" w:cs="Helvetica"/>
          <w:sz w:val="24"/>
          <w:szCs w:val="24"/>
          <w:highlight w:val="yellow"/>
          <w:shd w:val="clear" w:color="000000" w:fill="FFFFFF"/>
        </w:rPr>
        <w:t>Boyll</w:t>
      </w:r>
      <w:proofErr w:type="spellEnd"/>
      <w:r w:rsidR="00733F4F" w:rsidRPr="00DD0DA5">
        <w:rPr>
          <w:rFonts w:ascii="Bookman Old Style" w:hAnsi="Bookman Old Style" w:cs="Helvetica"/>
          <w:sz w:val="24"/>
          <w:szCs w:val="24"/>
          <w:shd w:val="clear" w:color="000000" w:fill="FFFFFF"/>
        </w:rPr>
        <w:t>:</w:t>
      </w:r>
    </w:p>
    <w:p w14:paraId="2E4E49C5" w14:textId="77777777" w:rsidR="004E58EE" w:rsidRPr="001612E9" w:rsidRDefault="004F152D" w:rsidP="004F152D">
      <w:pPr>
        <w:ind w:left="1440" w:right="1440"/>
        <w:jc w:val="both"/>
        <w:rPr>
          <w:rFonts w:ascii="Bookman Old Style" w:hAnsi="Bookman Old Style" w:cs="Helvetica"/>
          <w:color w:val="222222"/>
          <w:sz w:val="24"/>
          <w:szCs w:val="24"/>
          <w:shd w:val="clear" w:color="000000" w:fill="FFFFFF"/>
        </w:rPr>
      </w:pPr>
      <w:r w:rsidRPr="001612E9">
        <w:rPr>
          <w:rFonts w:ascii="Bookman Old Style" w:hAnsi="Bookman Old Style" w:cs="Helvetica"/>
          <w:color w:val="222222"/>
          <w:sz w:val="24"/>
          <w:szCs w:val="24"/>
          <w:shd w:val="clear" w:color="000000" w:fill="FFFFFF"/>
        </w:rPr>
        <w:t xml:space="preserve">The United States adopts a racially restrictive reading of 21 C.F.R. 1307.31, arguing that the protection contained therein applies only to members of the Native American Church who are American Indians. It claims that Mr. </w:t>
      </w:r>
      <w:proofErr w:type="spellStart"/>
      <w:r w:rsidRPr="001612E9">
        <w:rPr>
          <w:rFonts w:ascii="Bookman Old Style" w:hAnsi="Bookman Old Style" w:cs="Helvetica"/>
          <w:color w:val="222222"/>
          <w:sz w:val="24"/>
          <w:szCs w:val="24"/>
          <w:shd w:val="clear" w:color="000000" w:fill="FFFFFF"/>
        </w:rPr>
        <w:t>Boyll</w:t>
      </w:r>
      <w:proofErr w:type="spellEnd"/>
      <w:r w:rsidRPr="001612E9">
        <w:rPr>
          <w:rFonts w:ascii="Bookman Old Style" w:hAnsi="Bookman Old Style" w:cs="Helvetica"/>
          <w:color w:val="222222"/>
          <w:sz w:val="24"/>
          <w:szCs w:val="24"/>
          <w:shd w:val="clear" w:color="000000" w:fill="FFFFFF"/>
        </w:rPr>
        <w:t xml:space="preserve"> cannot be a member of the Native American Church because "</w:t>
      </w:r>
      <w:r w:rsidRPr="001612E9">
        <w:rPr>
          <w:rFonts w:ascii="Bookman Old Style" w:hAnsi="Bookman Old Style" w:cs="Helvetica"/>
          <w:b/>
          <w:bCs/>
          <w:color w:val="222222"/>
          <w:sz w:val="24"/>
          <w:szCs w:val="24"/>
          <w:shd w:val="clear" w:color="000000" w:fill="FFFFFF"/>
        </w:rPr>
        <w:t xml:space="preserve">membership is limited to persons who [sic] ethnic descent is at least </w:t>
      </w:r>
      <w:r w:rsidRPr="00733F4F">
        <w:rPr>
          <w:rFonts w:ascii="Bookman Old Style" w:hAnsi="Bookman Old Style" w:cs="Helvetica"/>
          <w:b/>
          <w:bCs/>
          <w:color w:val="FF0000"/>
          <w:sz w:val="24"/>
          <w:szCs w:val="24"/>
          <w:shd w:val="clear" w:color="000000" w:fill="FFFFFF"/>
        </w:rPr>
        <w:t>twenty-five</w:t>
      </w:r>
      <w:r w:rsidRPr="001612E9">
        <w:rPr>
          <w:rFonts w:ascii="Bookman Old Style" w:hAnsi="Bookman Old Style" w:cs="Helvetica"/>
          <w:b/>
          <w:bCs/>
          <w:color w:val="222222"/>
          <w:sz w:val="24"/>
          <w:szCs w:val="24"/>
          <w:shd w:val="clear" w:color="000000" w:fill="FFFFFF"/>
        </w:rPr>
        <w:t xml:space="preserve"> percent derived from American Indian stock, and to the spouses of such persons</w:t>
      </w:r>
      <w:r w:rsidRPr="001612E9">
        <w:rPr>
          <w:rFonts w:ascii="Bookman Old Style" w:hAnsi="Bookman Old Style" w:cs="Helvetica"/>
          <w:color w:val="222222"/>
          <w:sz w:val="24"/>
          <w:szCs w:val="24"/>
          <w:shd w:val="clear" w:color="000000" w:fill="FFFFFF"/>
        </w:rPr>
        <w:t xml:space="preserve">"; that, therefore, </w:t>
      </w:r>
      <w:r w:rsidRPr="001612E9">
        <w:rPr>
          <w:rFonts w:ascii="Bookman Old Style" w:hAnsi="Bookman Old Style" w:cs="Helvetica"/>
          <w:b/>
          <w:bCs/>
          <w:color w:val="222222"/>
          <w:sz w:val="24"/>
          <w:szCs w:val="24"/>
          <w:shd w:val="clear" w:color="000000" w:fill="FFFFFF"/>
        </w:rPr>
        <w:t xml:space="preserve">Mr. </w:t>
      </w:r>
      <w:proofErr w:type="spellStart"/>
      <w:r w:rsidRPr="001612E9">
        <w:rPr>
          <w:rFonts w:ascii="Bookman Old Style" w:hAnsi="Bookman Old Style" w:cs="Helvetica"/>
          <w:b/>
          <w:bCs/>
          <w:color w:val="222222"/>
          <w:sz w:val="24"/>
          <w:szCs w:val="24"/>
          <w:shd w:val="clear" w:color="000000" w:fill="FFFFFF"/>
        </w:rPr>
        <w:t>Boyll</w:t>
      </w:r>
      <w:proofErr w:type="spellEnd"/>
      <w:r w:rsidRPr="001612E9">
        <w:rPr>
          <w:rFonts w:ascii="Bookman Old Style" w:hAnsi="Bookman Old Style" w:cs="Helvetica"/>
          <w:b/>
          <w:bCs/>
          <w:color w:val="222222"/>
          <w:sz w:val="24"/>
          <w:szCs w:val="24"/>
          <w:shd w:val="clear" w:color="000000" w:fill="FFFFFF"/>
        </w:rPr>
        <w:t xml:space="preserve"> cannot be a member of the Native American Church since neither he nor his spouse is </w:t>
      </w:r>
      <w:r w:rsidRPr="00733F4F">
        <w:rPr>
          <w:rFonts w:ascii="Bookman Old Style" w:hAnsi="Bookman Old Style" w:cs="Helvetica"/>
          <w:b/>
          <w:bCs/>
          <w:color w:val="FF0000"/>
          <w:sz w:val="24"/>
          <w:szCs w:val="24"/>
          <w:shd w:val="clear" w:color="000000" w:fill="FFFFFF"/>
        </w:rPr>
        <w:t xml:space="preserve">twenty-five </w:t>
      </w:r>
      <w:r w:rsidRPr="001612E9">
        <w:rPr>
          <w:rFonts w:ascii="Bookman Old Style" w:hAnsi="Bookman Old Style" w:cs="Helvetica"/>
          <w:b/>
          <w:bCs/>
          <w:color w:val="222222"/>
          <w:sz w:val="24"/>
          <w:szCs w:val="24"/>
          <w:shd w:val="clear" w:color="000000" w:fill="FFFFFF"/>
        </w:rPr>
        <w:t>percent American Indian.</w:t>
      </w:r>
    </w:p>
    <w:p w14:paraId="0C70C9CF" w14:textId="77777777" w:rsidR="00232BE1" w:rsidRPr="001612E9" w:rsidRDefault="006677E8" w:rsidP="004E58EE">
      <w:pPr>
        <w:spacing w:line="480" w:lineRule="auto"/>
        <w:ind w:firstLine="720"/>
        <w:jc w:val="both"/>
        <w:rPr>
          <w:rFonts w:ascii="Bookman Old Style" w:hAnsi="Bookman Old Style"/>
          <w:color w:val="000000"/>
          <w:sz w:val="24"/>
          <w:szCs w:val="24"/>
          <w:shd w:val="clear" w:color="auto" w:fill="FFFFFF"/>
        </w:rPr>
      </w:pPr>
      <w:r w:rsidRPr="001612E9">
        <w:rPr>
          <w:rFonts w:ascii="Bookman Old Style" w:hAnsi="Bookman Old Style"/>
          <w:color w:val="000000"/>
          <w:sz w:val="24"/>
          <w:szCs w:val="24"/>
          <w:shd w:val="clear" w:color="auto" w:fill="FFFFFF"/>
        </w:rPr>
        <w:t xml:space="preserve">The </w:t>
      </w:r>
      <w:proofErr w:type="spellStart"/>
      <w:r w:rsidRPr="00DD0DA5">
        <w:rPr>
          <w:rFonts w:ascii="Bookman Old Style" w:hAnsi="Bookman Old Style"/>
          <w:i/>
          <w:iCs/>
          <w:color w:val="000000"/>
          <w:sz w:val="24"/>
          <w:szCs w:val="24"/>
          <w:shd w:val="clear" w:color="auto" w:fill="FFFFFF"/>
        </w:rPr>
        <w:t>Boyll</w:t>
      </w:r>
      <w:proofErr w:type="spellEnd"/>
      <w:r w:rsidRPr="001612E9">
        <w:rPr>
          <w:rFonts w:ascii="Bookman Old Style" w:hAnsi="Bookman Old Style"/>
          <w:color w:val="000000"/>
          <w:sz w:val="24"/>
          <w:szCs w:val="24"/>
          <w:shd w:val="clear" w:color="auto" w:fill="FFFFFF"/>
        </w:rPr>
        <w:t xml:space="preserve"> court </w:t>
      </w:r>
      <w:r w:rsidR="00733F4F">
        <w:rPr>
          <w:rFonts w:ascii="Bookman Old Style" w:hAnsi="Bookman Old Style"/>
          <w:color w:val="000000"/>
          <w:sz w:val="24"/>
          <w:szCs w:val="24"/>
          <w:shd w:val="clear" w:color="auto" w:fill="FFFFFF"/>
        </w:rPr>
        <w:t>having addressed the government’s twenty-five percent truthful position also addressed Constitutional concerns</w:t>
      </w:r>
      <w:r w:rsidR="00232BE1" w:rsidRPr="001612E9">
        <w:rPr>
          <w:rFonts w:ascii="Bookman Old Style" w:hAnsi="Bookman Old Style"/>
          <w:color w:val="000000"/>
          <w:sz w:val="24"/>
          <w:szCs w:val="24"/>
          <w:shd w:val="clear" w:color="auto" w:fill="FFFFFF"/>
        </w:rPr>
        <w:t xml:space="preserve"> </w:t>
      </w:r>
      <w:r w:rsidR="00733F4F">
        <w:rPr>
          <w:rFonts w:ascii="Bookman Old Style" w:hAnsi="Bookman Old Style"/>
          <w:color w:val="000000"/>
          <w:sz w:val="24"/>
          <w:szCs w:val="24"/>
          <w:shd w:val="clear" w:color="auto" w:fill="FFFFFF"/>
        </w:rPr>
        <w:t xml:space="preserve">and their individual importance: </w:t>
      </w:r>
    </w:p>
    <w:p w14:paraId="5DFAC95D" w14:textId="77777777" w:rsidR="006677E8" w:rsidRPr="001612E9" w:rsidRDefault="00232BE1" w:rsidP="00232BE1">
      <w:pPr>
        <w:ind w:left="1440" w:right="1440"/>
        <w:jc w:val="both"/>
        <w:rPr>
          <w:rFonts w:ascii="Bookman Old Style" w:hAnsi="Bookman Old Style" w:cs="Helvetica"/>
          <w:color w:val="222222"/>
          <w:sz w:val="24"/>
          <w:szCs w:val="24"/>
          <w:shd w:val="clear" w:color="000000" w:fill="FFFFFF"/>
        </w:rPr>
      </w:pPr>
      <w:r w:rsidRPr="001612E9">
        <w:rPr>
          <w:rFonts w:ascii="Bookman Old Style" w:hAnsi="Bookman Old Style" w:cs="Helvetica"/>
          <w:color w:val="222222"/>
          <w:sz w:val="24"/>
          <w:szCs w:val="24"/>
          <w:shd w:val="clear" w:color="000000" w:fill="FFFFFF"/>
        </w:rPr>
        <w:t>THERE is a genius to our Constitution. Its genius is that it speaks to the freedoms of the individual. It is this genius that brings the present matter before the Court. More specifically, this matter concerns a freedom that was a natural idea whose genesis was in the Plymouth Charter, and finds its present form in the First Amendment to the United States Constitution -- the freedom of religion.</w:t>
      </w:r>
      <w:r w:rsidR="006677E8" w:rsidRPr="001612E9">
        <w:rPr>
          <w:rFonts w:ascii="Bookman Old Style" w:hAnsi="Bookman Old Style" w:cs="Helvetica"/>
          <w:color w:val="222222"/>
          <w:sz w:val="24"/>
          <w:szCs w:val="24"/>
          <w:shd w:val="clear" w:color="000000" w:fill="FFFFFF"/>
        </w:rPr>
        <w:t xml:space="preserve"> </w:t>
      </w:r>
    </w:p>
    <w:p w14:paraId="790BD357" w14:textId="77777777" w:rsidR="00232BE1" w:rsidRPr="001612E9" w:rsidRDefault="00232BE1" w:rsidP="00232BE1">
      <w:pPr>
        <w:ind w:right="1440"/>
        <w:jc w:val="both"/>
        <w:rPr>
          <w:rFonts w:ascii="Bookman Old Style" w:hAnsi="Bookman Old Style" w:cs="Helvetica"/>
          <w:color w:val="222222"/>
          <w:sz w:val="24"/>
          <w:szCs w:val="24"/>
          <w:shd w:val="clear" w:color="000000" w:fill="FFFFFF"/>
        </w:rPr>
      </w:pPr>
    </w:p>
    <w:p w14:paraId="55B7B9A6" w14:textId="77777777" w:rsidR="00232BE1" w:rsidRPr="001612E9" w:rsidRDefault="00232BE1" w:rsidP="00232BE1">
      <w:pPr>
        <w:ind w:right="1440"/>
        <w:jc w:val="both"/>
        <w:rPr>
          <w:rFonts w:ascii="Bookman Old Style" w:hAnsi="Bookman Old Style" w:cs="Helvetica"/>
          <w:color w:val="222222"/>
          <w:sz w:val="24"/>
          <w:szCs w:val="24"/>
          <w:shd w:val="clear" w:color="000000" w:fill="FFFFFF"/>
        </w:rPr>
      </w:pPr>
      <w:r w:rsidRPr="001612E9">
        <w:rPr>
          <w:rFonts w:ascii="Bookman Old Style" w:hAnsi="Bookman Old Style" w:cs="Helvetica"/>
          <w:color w:val="222222"/>
          <w:sz w:val="24"/>
          <w:szCs w:val="24"/>
          <w:highlight w:val="yellow"/>
          <w:shd w:val="clear" w:color="000000" w:fill="FFFFFF"/>
        </w:rPr>
        <w:t>CITATION</w:t>
      </w:r>
    </w:p>
    <w:p w14:paraId="0459F7B1" w14:textId="77777777" w:rsidR="004F152D" w:rsidRDefault="006677E8" w:rsidP="006677E8">
      <w:pPr>
        <w:ind w:left="1440" w:right="1440"/>
        <w:jc w:val="both"/>
        <w:rPr>
          <w:rFonts w:ascii="Bookman Old Style" w:hAnsi="Bookman Old Style" w:cs="Helvetica"/>
          <w:color w:val="222222"/>
          <w:sz w:val="24"/>
          <w:szCs w:val="24"/>
          <w:shd w:val="clear" w:color="000000" w:fill="FFFFFF"/>
        </w:rPr>
      </w:pPr>
      <w:r w:rsidRPr="001612E9">
        <w:rPr>
          <w:rFonts w:ascii="Bookman Old Style" w:hAnsi="Bookman Old Style" w:cs="Helvetica"/>
          <w:color w:val="222222"/>
          <w:sz w:val="24"/>
          <w:szCs w:val="24"/>
          <w:shd w:val="clear" w:color="000000" w:fill="FFFFFF"/>
        </w:rPr>
        <w:t>The Government's "war on drugs" has become a wildfire that threatens to consume those fundamental rights of the individual deliberately enshrined in our Constitution. Ironically, as we celebrate the 200th anniversary of the Bill of Rights, the tattered Fourth Amendment right to be free from unreasonable searches and seizures and the now frail Fifth Amendment right against self-incrimination or deprivation of liberty without due process have fallen as casualties in this "war on drugs." It was naive of this Court to hope that this erosion of constitutional protections would stop at the Fourth and Fifth Amendments. But today, the "war" targets one of the most deeply held fundamental rights -- the First Amendment right to freely exercise one's religion.</w:t>
      </w:r>
    </w:p>
    <w:p w14:paraId="0A7FE160" w14:textId="77777777" w:rsidR="00DD0DA5" w:rsidRPr="001612E9" w:rsidRDefault="00DD0DA5" w:rsidP="006677E8">
      <w:pPr>
        <w:ind w:left="1440" w:right="1440"/>
        <w:jc w:val="both"/>
        <w:rPr>
          <w:rFonts w:ascii="Bookman Old Style" w:hAnsi="Bookman Old Style" w:cs="Helvetica"/>
          <w:color w:val="222222"/>
          <w:sz w:val="24"/>
          <w:szCs w:val="24"/>
          <w:shd w:val="clear" w:color="000000" w:fill="FFFFFF"/>
        </w:rPr>
      </w:pPr>
    </w:p>
    <w:p w14:paraId="66F5C975" w14:textId="77777777" w:rsidR="00984E66" w:rsidRDefault="00F8774E" w:rsidP="006C3E80">
      <w:pPr>
        <w:spacing w:line="480" w:lineRule="auto"/>
        <w:ind w:firstLine="720"/>
        <w:jc w:val="both"/>
        <w:rPr>
          <w:rFonts w:ascii="Bookman Old Style" w:hAnsi="Bookman Old Style" w:cs="Helvetica"/>
          <w:sz w:val="24"/>
          <w:szCs w:val="24"/>
          <w:shd w:val="clear" w:color="000000" w:fill="FFFFFF"/>
        </w:rPr>
      </w:pPr>
      <w:r w:rsidRPr="001612E9">
        <w:rPr>
          <w:rFonts w:ascii="Bookman Old Style" w:hAnsi="Bookman Old Style" w:cs="Helvetica"/>
          <w:sz w:val="24"/>
          <w:szCs w:val="24"/>
          <w:shd w:val="clear" w:color="000000" w:fill="FFFFFF"/>
        </w:rPr>
        <w:t xml:space="preserve">As Justice Thomas noted, the </w:t>
      </w:r>
      <w:r w:rsidR="006C3E80" w:rsidRPr="001612E9">
        <w:rPr>
          <w:rFonts w:ascii="Bookman Old Style" w:hAnsi="Bookman Old Style" w:cs="Helvetica"/>
          <w:sz w:val="24"/>
          <w:szCs w:val="24"/>
          <w:shd w:val="clear" w:color="000000" w:fill="FFFFFF"/>
        </w:rPr>
        <w:t>“</w:t>
      </w:r>
      <w:r w:rsidR="006C3E80" w:rsidRPr="001612E9">
        <w:rPr>
          <w:rFonts w:ascii="Bookman Old Style" w:hAnsi="Bookman Old Style" w:cs="Century Schoolbook"/>
          <w:color w:val="000000"/>
          <w:sz w:val="22"/>
          <w:szCs w:val="22"/>
        </w:rPr>
        <w:t>Once comprehensive, the Federal Govern</w:t>
      </w:r>
      <w:r w:rsidR="006C3E80" w:rsidRPr="001612E9">
        <w:rPr>
          <w:rFonts w:ascii="Bookman Old Style" w:hAnsi="Bookman Old Style" w:cs="Century Schoolbook"/>
          <w:color w:val="000000"/>
          <w:sz w:val="22"/>
          <w:szCs w:val="22"/>
        </w:rPr>
        <w:softHyphen/>
        <w:t xml:space="preserve">ment’s current approach is a half-in, half-out regime that simultaneously tolerates and forbids local use of marijuana.”  </w:t>
      </w:r>
      <w:r w:rsidR="001612E9" w:rsidRPr="001612E9">
        <w:rPr>
          <w:rFonts w:ascii="Bookman Old Style" w:hAnsi="Bookman Old Style" w:cs="Helvetica"/>
          <w:sz w:val="24"/>
          <w:szCs w:val="24"/>
          <w:shd w:val="clear" w:color="000000" w:fill="FFFFFF"/>
        </w:rPr>
        <w:t>(QUOTE)(CITE).</w:t>
      </w:r>
      <w:r w:rsidR="001612E9">
        <w:rPr>
          <w:rFonts w:ascii="Bookman Old Style" w:hAnsi="Bookman Old Style" w:cs="Helvetica"/>
          <w:sz w:val="24"/>
          <w:szCs w:val="24"/>
          <w:shd w:val="clear" w:color="000000" w:fill="FFFFFF"/>
        </w:rPr>
        <w:t xml:space="preserve"> </w:t>
      </w:r>
    </w:p>
    <w:p w14:paraId="7E3E866F" w14:textId="77777777" w:rsidR="00984E66" w:rsidRPr="001612E9" w:rsidRDefault="00984E66" w:rsidP="00984E66">
      <w:pPr>
        <w:ind w:left="1440" w:right="1440"/>
        <w:jc w:val="both"/>
        <w:rPr>
          <w:rFonts w:ascii="Bookman Old Style" w:hAnsi="Bookman Old Style" w:cs="Helvetica"/>
          <w:color w:val="222222"/>
          <w:sz w:val="24"/>
          <w:szCs w:val="24"/>
          <w:shd w:val="clear" w:color="000000" w:fill="FFFFFF"/>
        </w:rPr>
      </w:pPr>
      <w:r w:rsidRPr="001612E9">
        <w:rPr>
          <w:rFonts w:ascii="Bookman Old Style" w:hAnsi="Bookman Old Style" w:cs="Helvetica"/>
          <w:color w:val="222222"/>
          <w:sz w:val="24"/>
          <w:szCs w:val="24"/>
          <w:shd w:val="clear" w:color="000000" w:fill="FFFFFF"/>
        </w:rPr>
        <w:t>I</w:t>
      </w:r>
      <w:r w:rsidRPr="00232BE1">
        <w:rPr>
          <w:rFonts w:ascii="Bookman Old Style" w:hAnsi="Bookman Old Style" w:cs="Helvetica"/>
          <w:color w:val="222222"/>
          <w:sz w:val="24"/>
          <w:szCs w:val="24"/>
          <w:shd w:val="clear" w:color="000000" w:fill="FFFFFF"/>
        </w:rPr>
        <w:t>n</w:t>
      </w:r>
      <w:r w:rsidRPr="001612E9">
        <w:rPr>
          <w:rFonts w:ascii="Bookman Old Style" w:hAnsi="Bookman Old Style" w:cs="Helvetica"/>
          <w:color w:val="222222"/>
          <w:sz w:val="24"/>
          <w:szCs w:val="24"/>
          <w:shd w:val="clear" w:color="000000" w:fill="FFFFFF"/>
        </w:rPr>
        <w:t xml:space="preserve"> </w:t>
      </w:r>
      <w:r w:rsidRPr="00232BE1">
        <w:rPr>
          <w:rFonts w:ascii="Bookman Old Style" w:hAnsi="Bookman Old Style" w:cs="Helvetica"/>
          <w:color w:val="222222"/>
          <w:sz w:val="24"/>
          <w:szCs w:val="24"/>
          <w:shd w:val="clear" w:color="000000" w:fill="FFFFFF"/>
        </w:rPr>
        <w:t>2009 and 2013, the Department of Justice issued memorandums outlining a policy against intruding on state legalization schemes or prosecuting certain individuals who comply with state law. In 2009, Congress enabled Washington</w:t>
      </w:r>
      <w:r w:rsidRPr="001612E9">
        <w:rPr>
          <w:rFonts w:ascii="Bookman Old Style" w:hAnsi="Bookman Old Style" w:cs="Helvetica"/>
          <w:color w:val="222222"/>
          <w:sz w:val="24"/>
          <w:szCs w:val="24"/>
          <w:shd w:val="clear" w:color="000000" w:fill="FFFFFF"/>
        </w:rPr>
        <w:t xml:space="preserve"> </w:t>
      </w:r>
      <w:r w:rsidRPr="00232BE1">
        <w:rPr>
          <w:rFonts w:ascii="Bookman Old Style" w:hAnsi="Bookman Old Style" w:cs="Helvetica"/>
          <w:color w:val="222222"/>
          <w:sz w:val="24"/>
          <w:szCs w:val="24"/>
          <w:shd w:val="clear" w:color="000000" w:fill="FFFFFF"/>
        </w:rPr>
        <w:t xml:space="preserve">D. C.’s government to decriminalize medical marijuana under local ordinance. Moreover, in every fiscal year since 2015, Congress has prohibited the Department of Justice from “spending funds to prevent states’ implementation of their own medical marijuana laws.” </w:t>
      </w:r>
      <w:r w:rsidRPr="00232BE1">
        <w:rPr>
          <w:rFonts w:ascii="Bookman Old Style" w:hAnsi="Bookman Old Style" w:cs="Helvetica"/>
          <w:i/>
          <w:iCs/>
          <w:color w:val="222222"/>
          <w:sz w:val="24"/>
          <w:szCs w:val="24"/>
          <w:shd w:val="clear" w:color="000000" w:fill="FFFFFF"/>
        </w:rPr>
        <w:t>United States v. McIntosh</w:t>
      </w:r>
      <w:r w:rsidRPr="00232BE1">
        <w:rPr>
          <w:rFonts w:ascii="Bookman Old Style" w:hAnsi="Bookman Old Style" w:cs="Helvetica"/>
          <w:color w:val="222222"/>
          <w:sz w:val="24"/>
          <w:szCs w:val="24"/>
          <w:shd w:val="clear" w:color="000000" w:fill="FFFFFF"/>
        </w:rPr>
        <w:t xml:space="preserve">, 833 F. 3d 1163, 1168, 1175–1177 (CA9 2016) (interpreting the rider to prevent expenditures on the prosecution of individuals who comply with state law) </w:t>
      </w:r>
    </w:p>
    <w:p w14:paraId="3FB856F9" w14:textId="77777777" w:rsidR="00E02416" w:rsidRPr="00E00FB1" w:rsidRDefault="00E02416" w:rsidP="00E00FB1">
      <w:pPr>
        <w:spacing w:line="480" w:lineRule="auto"/>
        <w:ind w:firstLine="720"/>
        <w:jc w:val="both"/>
        <w:rPr>
          <w:rFonts w:ascii="Bookman Old Style" w:hAnsi="Bookman Old Style" w:cs="Helvetica"/>
          <w:sz w:val="24"/>
          <w:szCs w:val="24"/>
          <w:shd w:val="clear" w:color="000000" w:fill="FFFFFF"/>
        </w:rPr>
      </w:pPr>
      <w:r w:rsidRPr="00E02416">
        <w:rPr>
          <w:rFonts w:ascii="Bookman Old Style" w:hAnsi="Bookman Old Style" w:cs="Helvetica"/>
          <w:sz w:val="24"/>
          <w:szCs w:val="24"/>
          <w:shd w:val="clear" w:color="000000" w:fill="FFFFFF"/>
        </w:rPr>
        <w:t>Wisconsin has made more exemption</w:t>
      </w:r>
      <w:r w:rsidR="00DD0DA5">
        <w:rPr>
          <w:rFonts w:ascii="Bookman Old Style" w:hAnsi="Bookman Old Style" w:cs="Helvetica"/>
          <w:sz w:val="24"/>
          <w:szCs w:val="24"/>
          <w:shd w:val="clear" w:color="000000" w:fill="FFFFFF"/>
        </w:rPr>
        <w:t>s</w:t>
      </w:r>
      <w:r w:rsidRPr="00E02416">
        <w:rPr>
          <w:rFonts w:ascii="Bookman Old Style" w:hAnsi="Bookman Old Style" w:cs="Helvetica"/>
          <w:sz w:val="24"/>
          <w:szCs w:val="24"/>
          <w:shd w:val="clear" w:color="000000" w:fill="FFFFFF"/>
        </w:rPr>
        <w:t xml:space="preserve">, consider </w:t>
      </w:r>
      <w:r w:rsidR="001612E9" w:rsidRPr="00E02416">
        <w:rPr>
          <w:rFonts w:ascii="Bookman Old Style" w:hAnsi="Bookman Old Style" w:cs="Helvetica"/>
          <w:sz w:val="24"/>
          <w:szCs w:val="24"/>
          <w:shd w:val="clear" w:color="000000" w:fill="FFFFFF"/>
        </w:rPr>
        <w:t>Wis. Stat. § 961.32(b)(3) entitled, “Possession authorization,” provides in pertinent part:</w:t>
      </w:r>
    </w:p>
    <w:p w14:paraId="1DED51AC" w14:textId="77777777" w:rsidR="001612E9" w:rsidRPr="00E02416" w:rsidRDefault="001612E9" w:rsidP="001612E9">
      <w:pPr>
        <w:ind w:left="1440" w:right="1440"/>
        <w:jc w:val="both"/>
        <w:rPr>
          <w:rFonts w:ascii="Bookman Old Style" w:hAnsi="Bookman Old Style" w:cs="Helvetica"/>
          <w:sz w:val="24"/>
          <w:szCs w:val="24"/>
          <w:shd w:val="clear" w:color="000000" w:fill="FFFFFF"/>
        </w:rPr>
      </w:pPr>
      <w:r w:rsidRPr="00E02416">
        <w:rPr>
          <w:rFonts w:ascii="Bookman Old Style" w:hAnsi="Bookman Old Style" w:cs="Helvetica"/>
          <w:sz w:val="24"/>
          <w:szCs w:val="24"/>
          <w:shd w:val="clear" w:color="000000" w:fill="FFFFFF"/>
        </w:rPr>
        <w:t xml:space="preserve">(b)(3) An </w:t>
      </w:r>
      <w:r w:rsidRPr="00E02416">
        <w:rPr>
          <w:rFonts w:ascii="Bookman Old Style" w:hAnsi="Bookman Old Style" w:cs="Helvetica"/>
          <w:b/>
          <w:bCs/>
          <w:sz w:val="24"/>
          <w:szCs w:val="24"/>
          <w:shd w:val="clear" w:color="000000" w:fill="FFFFFF"/>
        </w:rPr>
        <w:t>ultimate user</w:t>
      </w:r>
      <w:r w:rsidRPr="00E02416">
        <w:rPr>
          <w:rFonts w:ascii="Bookman Old Style" w:hAnsi="Bookman Old Style" w:cs="Helvetica"/>
          <w:sz w:val="24"/>
          <w:szCs w:val="24"/>
          <w:shd w:val="clear" w:color="000000" w:fill="FFFFFF"/>
        </w:rPr>
        <w:t xml:space="preserve"> or a person in possession of any controlled substance pursuant to a lawful order of a practitioner or in lawful possession of a schedule V substance.</w:t>
      </w:r>
    </w:p>
    <w:p w14:paraId="3462E457" w14:textId="77777777" w:rsidR="001B0431" w:rsidRPr="00E4284B" w:rsidRDefault="001B0431" w:rsidP="0072234D">
      <w:pPr>
        <w:ind w:right="1440"/>
        <w:rPr>
          <w:rFonts w:ascii="Bookman Old Style" w:hAnsi="Bookman Old Style" w:cs="Helvetica"/>
          <w:sz w:val="24"/>
          <w:szCs w:val="24"/>
          <w:shd w:val="clear" w:color="000000" w:fill="FFFFFF"/>
        </w:rPr>
      </w:pPr>
    </w:p>
    <w:p w14:paraId="50DEA191" w14:textId="77777777" w:rsidR="00DD0DA5" w:rsidRPr="00E4284B" w:rsidRDefault="002A7BC7" w:rsidP="00DD0DA5">
      <w:pPr>
        <w:spacing w:line="480" w:lineRule="auto"/>
        <w:jc w:val="both"/>
        <w:rPr>
          <w:rFonts w:ascii="Bookman Old Style" w:hAnsi="Bookman Old Style" w:cs="Open Sans"/>
          <w:sz w:val="24"/>
          <w:szCs w:val="24"/>
          <w:shd w:val="clear" w:color="000000" w:fill="FFFFFF"/>
        </w:rPr>
      </w:pPr>
      <w:r w:rsidRPr="00E4284B">
        <w:rPr>
          <w:rFonts w:ascii="Bookman Old Style" w:hAnsi="Bookman Old Style"/>
          <w:sz w:val="24"/>
          <w:szCs w:val="24"/>
        </w:rPr>
        <w:tab/>
      </w:r>
      <w:r w:rsidR="00DD0DA5" w:rsidRPr="00E4284B">
        <w:rPr>
          <w:rFonts w:ascii="Bookman Old Style" w:hAnsi="Bookman Old Style"/>
          <w:iCs/>
          <w:sz w:val="24"/>
          <w:szCs w:val="24"/>
        </w:rPr>
        <w:t xml:space="preserve">No honest argument can be made to refute the reasoning of the </w:t>
      </w:r>
      <w:r w:rsidR="00DD0DA5" w:rsidRPr="00E4284B">
        <w:rPr>
          <w:rFonts w:ascii="Bookman Old Style" w:hAnsi="Bookman Old Style"/>
          <w:i/>
          <w:sz w:val="24"/>
          <w:szCs w:val="24"/>
        </w:rPr>
        <w:t>Fulton</w:t>
      </w:r>
      <w:r w:rsidR="00DD0DA5" w:rsidRPr="00E4284B">
        <w:rPr>
          <w:rFonts w:ascii="Bookman Old Style" w:hAnsi="Bookman Old Style"/>
          <w:iCs/>
          <w:sz w:val="24"/>
          <w:szCs w:val="24"/>
        </w:rPr>
        <w:t xml:space="preserve"> Court’s applies here, as </w:t>
      </w:r>
      <w:r w:rsidR="00DD0DA5" w:rsidRPr="00E4284B">
        <w:rPr>
          <w:rFonts w:ascii="Bookman Old Style" w:hAnsi="Bookman Old Style"/>
          <w:sz w:val="24"/>
          <w:szCs w:val="24"/>
        </w:rPr>
        <w:t xml:space="preserve">the law is not applied “across the board” CITE THOMAS.  Not in Madison, </w:t>
      </w:r>
      <w:r w:rsidR="00E4284B" w:rsidRPr="00E4284B">
        <w:rPr>
          <w:rFonts w:ascii="Bookman Old Style" w:hAnsi="Bookman Old Style"/>
          <w:sz w:val="24"/>
          <w:szCs w:val="24"/>
        </w:rPr>
        <w:t>not in the</w:t>
      </w:r>
      <w:r w:rsidR="00DD0DA5" w:rsidRPr="00E4284B">
        <w:rPr>
          <w:rFonts w:ascii="Bookman Old Style" w:hAnsi="Bookman Old Style"/>
          <w:sz w:val="24"/>
          <w:szCs w:val="24"/>
        </w:rPr>
        <w:t xml:space="preserve"> State of Wisconsin, </w:t>
      </w:r>
      <w:r w:rsidR="00E4284B" w:rsidRPr="00E4284B">
        <w:rPr>
          <w:rFonts w:ascii="Bookman Old Style" w:hAnsi="Bookman Old Style"/>
          <w:sz w:val="24"/>
          <w:szCs w:val="24"/>
        </w:rPr>
        <w:t>and not in</w:t>
      </w:r>
      <w:r w:rsidR="00DD0DA5" w:rsidRPr="00E4284B">
        <w:rPr>
          <w:rFonts w:ascii="Bookman Old Style" w:hAnsi="Bookman Old Style"/>
          <w:sz w:val="24"/>
          <w:szCs w:val="24"/>
        </w:rPr>
        <w:t xml:space="preserve"> the United States</w:t>
      </w:r>
      <w:r w:rsidR="00E4284B" w:rsidRPr="00E4284B">
        <w:rPr>
          <w:rFonts w:ascii="Bookman Old Style" w:hAnsi="Bookman Old Style"/>
          <w:sz w:val="24"/>
          <w:szCs w:val="24"/>
        </w:rPr>
        <w:t xml:space="preserve">.  There is no jurisdiction where the </w:t>
      </w:r>
      <w:r w:rsidR="00DD0DA5" w:rsidRPr="00E4284B">
        <w:rPr>
          <w:rFonts w:ascii="Bookman Old Style" w:hAnsi="Bookman Old Style"/>
          <w:sz w:val="24"/>
          <w:szCs w:val="24"/>
        </w:rPr>
        <w:t>prohibition against marijuana is “a law of general application</w:t>
      </w:r>
      <w:r w:rsidR="00E4284B" w:rsidRPr="00E4284B">
        <w:rPr>
          <w:rFonts w:ascii="Bookman Old Style" w:hAnsi="Bookman Old Style"/>
          <w:sz w:val="24"/>
          <w:szCs w:val="24"/>
        </w:rPr>
        <w:t>.</w:t>
      </w:r>
      <w:r w:rsidR="00DD0DA5" w:rsidRPr="00E4284B">
        <w:rPr>
          <w:rFonts w:ascii="Bookman Old Style" w:hAnsi="Bookman Old Style"/>
          <w:sz w:val="24"/>
          <w:szCs w:val="24"/>
        </w:rPr>
        <w:t>”</w:t>
      </w:r>
      <w:r w:rsidR="00E4284B" w:rsidRPr="00E4284B">
        <w:rPr>
          <w:rFonts w:ascii="Bookman Old Style" w:hAnsi="Bookman Old Style"/>
          <w:sz w:val="24"/>
          <w:szCs w:val="24"/>
        </w:rPr>
        <w:t xml:space="preserve"> When a statute infringes on free exercise, </w:t>
      </w:r>
      <w:r w:rsidR="00DD0DA5" w:rsidRPr="00E4284B">
        <w:rPr>
          <w:rFonts w:ascii="Bookman Old Style" w:hAnsi="Bookman Old Style"/>
          <w:sz w:val="24"/>
          <w:szCs w:val="24"/>
        </w:rPr>
        <w:t xml:space="preserve">both the Wisconsin Constitution and United States Constitution </w:t>
      </w:r>
      <w:r w:rsidR="00DD0DA5" w:rsidRPr="00E4284B">
        <w:rPr>
          <w:rFonts w:ascii="Bookman Old Style" w:hAnsi="Bookman Old Style"/>
          <w:sz w:val="24"/>
          <w:szCs w:val="24"/>
          <w:highlight w:val="yellow"/>
        </w:rPr>
        <w:t xml:space="preserve">demand </w:t>
      </w:r>
      <w:r w:rsidR="00E4284B" w:rsidRPr="00E4284B">
        <w:rPr>
          <w:rFonts w:ascii="Bookman Old Style" w:hAnsi="Bookman Old Style"/>
          <w:sz w:val="24"/>
          <w:szCs w:val="24"/>
          <w:highlight w:val="yellow"/>
        </w:rPr>
        <w:t xml:space="preserve">strict scrutiny.  </w:t>
      </w:r>
      <w:r w:rsidR="00DD0DA5" w:rsidRPr="00E4284B">
        <w:rPr>
          <w:rFonts w:ascii="Bookman Old Style" w:hAnsi="Bookman Old Style"/>
          <w:sz w:val="24"/>
          <w:szCs w:val="24"/>
        </w:rPr>
        <w:t xml:space="preserve">Again this very point was addressed </w:t>
      </w:r>
      <w:r w:rsidR="00E4284B" w:rsidRPr="00E4284B">
        <w:rPr>
          <w:rFonts w:ascii="Bookman Old Style" w:hAnsi="Bookman Old Style"/>
          <w:sz w:val="24"/>
          <w:szCs w:val="24"/>
        </w:rPr>
        <w:t xml:space="preserve">just days ago </w:t>
      </w:r>
      <w:r w:rsidR="00DD0DA5" w:rsidRPr="00E4284B">
        <w:rPr>
          <w:rStyle w:val="Emphasis"/>
          <w:rFonts w:ascii="Bookman Old Style" w:hAnsi="Bookman Old Style" w:cs="Open Sans"/>
          <w:sz w:val="24"/>
          <w:szCs w:val="24"/>
          <w:highlight w:val="yellow"/>
          <w:shd w:val="clear" w:color="000000" w:fill="FFFFFF"/>
        </w:rPr>
        <w:t>Employment Div., Dept. of Human Resources of Ore. </w:t>
      </w:r>
      <w:r w:rsidR="00DD0DA5" w:rsidRPr="00E4284B">
        <w:rPr>
          <w:rFonts w:ascii="Bookman Old Style" w:hAnsi="Bookman Old Style" w:cs="Open Sans"/>
          <w:sz w:val="24"/>
          <w:szCs w:val="24"/>
          <w:highlight w:val="yellow"/>
          <w:shd w:val="clear" w:color="000000" w:fill="FFFFFF"/>
        </w:rPr>
        <w:t>v. </w:t>
      </w:r>
      <w:r w:rsidR="00DD0DA5" w:rsidRPr="00E4284B">
        <w:rPr>
          <w:rStyle w:val="Emphasis"/>
          <w:rFonts w:ascii="Bookman Old Style" w:hAnsi="Bookman Old Style" w:cs="Open Sans"/>
          <w:sz w:val="24"/>
          <w:szCs w:val="24"/>
          <w:highlight w:val="yellow"/>
          <w:shd w:val="clear" w:color="000000" w:fill="FFFFFF"/>
        </w:rPr>
        <w:t>Smith, </w:t>
      </w:r>
      <w:hyperlink r:id="rId8" w:history="1">
        <w:r w:rsidR="00DD0DA5" w:rsidRPr="00E4284B">
          <w:rPr>
            <w:rStyle w:val="Hyperlink"/>
            <w:rFonts w:ascii="Bookman Old Style" w:hAnsi="Bookman Old Style" w:cs="Open Sans"/>
            <w:color w:val="auto"/>
            <w:sz w:val="24"/>
            <w:szCs w:val="24"/>
            <w:highlight w:val="yellow"/>
            <w:shd w:val="clear" w:color="000000" w:fill="FFFFFF"/>
          </w:rPr>
          <w:t>494 U. S. 872</w:t>
        </w:r>
      </w:hyperlink>
      <w:r w:rsidR="00DD0DA5" w:rsidRPr="00E4284B">
        <w:rPr>
          <w:rFonts w:ascii="Bookman Old Style" w:hAnsi="Bookman Old Style" w:cs="Open Sans"/>
          <w:sz w:val="24"/>
          <w:szCs w:val="24"/>
          <w:shd w:val="clear" w:color="000000" w:fill="FFFFFF"/>
        </w:rPr>
        <w:t xml:space="preserve">, </w:t>
      </w:r>
      <w:r w:rsidR="00E4284B" w:rsidRPr="00E4284B">
        <w:rPr>
          <w:rFonts w:ascii="Bookman Old Style" w:hAnsi="Bookman Old Style" w:cs="Open Sans"/>
          <w:sz w:val="24"/>
          <w:szCs w:val="24"/>
          <w:shd w:val="clear" w:color="000000" w:fill="FFFFFF"/>
        </w:rPr>
        <w:t>was</w:t>
      </w:r>
      <w:r w:rsidR="00DD0DA5" w:rsidRPr="00E4284B">
        <w:rPr>
          <w:rFonts w:ascii="Bookman Old Style" w:hAnsi="Bookman Old Style" w:cs="Open Sans"/>
          <w:sz w:val="24"/>
          <w:szCs w:val="24"/>
          <w:shd w:val="clear" w:color="000000" w:fill="FFFFFF"/>
        </w:rPr>
        <w:t xml:space="preserve"> </w:t>
      </w:r>
      <w:r w:rsidR="00DD0DA5" w:rsidRPr="00E4284B">
        <w:rPr>
          <w:rFonts w:ascii="Bookman Old Style" w:hAnsi="Bookman Old Style" w:cs="Open Sans"/>
          <w:b/>
          <w:bCs/>
          <w:sz w:val="24"/>
          <w:szCs w:val="24"/>
          <w:shd w:val="clear" w:color="000000" w:fill="FFFFFF"/>
        </w:rPr>
        <w:t>reiterated</w:t>
      </w:r>
      <w:r w:rsidR="00DD0DA5" w:rsidRPr="00E4284B">
        <w:rPr>
          <w:rFonts w:ascii="Bookman Old Style" w:hAnsi="Bookman Old Style" w:cs="Open Sans"/>
          <w:sz w:val="24"/>
          <w:szCs w:val="24"/>
          <w:shd w:val="clear" w:color="000000" w:fill="FFFFFF"/>
        </w:rPr>
        <w:t xml:space="preserve"> in </w:t>
      </w:r>
      <w:r w:rsidR="00DD0DA5" w:rsidRPr="00E4284B">
        <w:rPr>
          <w:rFonts w:ascii="Bookman Old Style" w:hAnsi="Bookman Old Style" w:cs="Open Sans"/>
          <w:i/>
          <w:iCs/>
          <w:sz w:val="24"/>
          <w:szCs w:val="24"/>
          <w:shd w:val="clear" w:color="000000" w:fill="FFFFFF"/>
        </w:rPr>
        <w:t>Fulton</w:t>
      </w:r>
      <w:r w:rsidR="00DD0DA5" w:rsidRPr="00E4284B">
        <w:rPr>
          <w:rFonts w:ascii="Bookman Old Style" w:hAnsi="Bookman Old Style" w:cs="Open Sans"/>
          <w:sz w:val="24"/>
          <w:szCs w:val="24"/>
          <w:shd w:val="clear" w:color="000000" w:fill="FFFFFF"/>
        </w:rPr>
        <w:t>:</w:t>
      </w:r>
    </w:p>
    <w:p w14:paraId="07E907DA" w14:textId="77777777" w:rsidR="00DD0DA5" w:rsidRPr="00E4284B" w:rsidRDefault="00DD0DA5" w:rsidP="00DD0DA5">
      <w:pPr>
        <w:ind w:left="1440" w:right="1440"/>
        <w:jc w:val="both"/>
        <w:rPr>
          <w:rFonts w:ascii="Bookman Old Style" w:hAnsi="Bookman Old Style" w:cs="Helvetica"/>
          <w:sz w:val="24"/>
          <w:szCs w:val="24"/>
          <w:shd w:val="clear" w:color="000000" w:fill="FFFFFF"/>
        </w:rPr>
      </w:pPr>
      <w:r w:rsidRPr="00E4284B">
        <w:rPr>
          <w:rFonts w:ascii="Bookman Old Style" w:hAnsi="Bookman Old Style" w:cs="Helvetica"/>
          <w:sz w:val="24"/>
          <w:szCs w:val="24"/>
          <w:shd w:val="clear" w:color="000000" w:fill="FFFFFF"/>
        </w:rPr>
        <w:t xml:space="preserve">… where such a law is not neutral or not of general application, it must undergo the most rigorous of scrutiny: It must be justified by a compelling governmental interest and must be narrowly tailored to advance that interest. </w:t>
      </w:r>
      <w:r w:rsidRPr="00E4284B">
        <w:rPr>
          <w:rFonts w:ascii="Bookman Old Style" w:hAnsi="Bookman Old Style" w:cs="Helvetica"/>
          <w:b/>
          <w:bCs/>
          <w:sz w:val="24"/>
          <w:szCs w:val="24"/>
          <w:shd w:val="clear" w:color="000000" w:fill="FFFFFF"/>
        </w:rPr>
        <w:t>Neutrality and general applicability are interrelated, and failure to satisfy one requirement is a likely indication that the other has not been satisfied</w:t>
      </w:r>
      <w:r w:rsidRPr="00E4284B">
        <w:rPr>
          <w:rFonts w:ascii="Bookman Old Style" w:hAnsi="Bookman Old Style" w:cs="Helvetica"/>
          <w:sz w:val="24"/>
          <w:szCs w:val="24"/>
          <w:shd w:val="clear" w:color="000000" w:fill="FFFFFF"/>
        </w:rPr>
        <w:t>. Pp.531-532.</w:t>
      </w:r>
    </w:p>
    <w:p w14:paraId="11DEF750" w14:textId="77777777" w:rsidR="00DD0DA5" w:rsidRDefault="00DD0DA5">
      <w:pPr>
        <w:spacing w:line="480" w:lineRule="auto"/>
        <w:jc w:val="both"/>
        <w:rPr>
          <w:rFonts w:ascii="Bookman Old Style" w:hAnsi="Bookman Old Style"/>
          <w:color w:val="548DD4" w:themeColor="text2" w:themeTint="99"/>
          <w:sz w:val="24"/>
          <w:szCs w:val="24"/>
        </w:rPr>
      </w:pPr>
    </w:p>
    <w:p w14:paraId="31C2659F" w14:textId="77777777" w:rsidR="001B0431" w:rsidRPr="0086166A" w:rsidRDefault="00E4284B" w:rsidP="00311CEB">
      <w:pPr>
        <w:spacing w:line="480" w:lineRule="auto"/>
        <w:jc w:val="both"/>
        <w:rPr>
          <w:rFonts w:ascii="Bookman Old Style" w:hAnsi="Bookman Old Style"/>
          <w:sz w:val="24"/>
          <w:szCs w:val="24"/>
        </w:rPr>
      </w:pPr>
      <w:r>
        <w:rPr>
          <w:rFonts w:ascii="Bookman Old Style" w:hAnsi="Bookman Old Style"/>
          <w:color w:val="548DD4" w:themeColor="text2" w:themeTint="99"/>
          <w:sz w:val="24"/>
          <w:szCs w:val="24"/>
        </w:rPr>
        <w:tab/>
      </w:r>
      <w:r w:rsidR="002A7BC7" w:rsidRPr="0086166A">
        <w:rPr>
          <w:rFonts w:ascii="Bookman Old Style" w:hAnsi="Bookman Old Style"/>
          <w:sz w:val="24"/>
          <w:szCs w:val="24"/>
        </w:rPr>
        <w:t xml:space="preserve">When the question is correctly stated, it cannot be answered by saying the State of Wisconsin or the United States has a compelling interest in enforcing drug laws. The correct question requires that the court weigh whether the </w:t>
      </w:r>
      <w:r w:rsidR="0086166A" w:rsidRPr="0086166A">
        <w:rPr>
          <w:rFonts w:ascii="Bookman Old Style" w:hAnsi="Bookman Old Style"/>
          <w:sz w:val="24"/>
          <w:szCs w:val="24"/>
        </w:rPr>
        <w:t>government has</w:t>
      </w:r>
      <w:r w:rsidR="002A7BC7" w:rsidRPr="0086166A">
        <w:rPr>
          <w:rFonts w:ascii="Bookman Old Style" w:hAnsi="Bookman Old Style"/>
          <w:sz w:val="24"/>
          <w:szCs w:val="24"/>
        </w:rPr>
        <w:t xml:space="preserve"> </w:t>
      </w:r>
      <w:r w:rsidR="00201343" w:rsidRPr="0086166A">
        <w:rPr>
          <w:rFonts w:ascii="Bookman Old Style" w:hAnsi="Bookman Old Style"/>
          <w:sz w:val="24"/>
          <w:szCs w:val="24"/>
        </w:rPr>
        <w:t>a</w:t>
      </w:r>
      <w:r w:rsidR="00E770A5" w:rsidRPr="0086166A">
        <w:rPr>
          <w:rFonts w:ascii="Bookman Old Style" w:hAnsi="Bookman Old Style"/>
          <w:sz w:val="24"/>
          <w:szCs w:val="24"/>
        </w:rPr>
        <w:t xml:space="preserve"> compelling</w:t>
      </w:r>
      <w:r w:rsidR="00ED6D89" w:rsidRPr="0086166A">
        <w:rPr>
          <w:rFonts w:ascii="Bookman Old Style" w:hAnsi="Bookman Old Style"/>
          <w:sz w:val="24"/>
          <w:szCs w:val="24"/>
        </w:rPr>
        <w:t xml:space="preserve"> </w:t>
      </w:r>
      <w:r w:rsidR="002A7BC7" w:rsidRPr="0086166A">
        <w:rPr>
          <w:rFonts w:ascii="Bookman Old Style" w:hAnsi="Bookman Old Style"/>
          <w:sz w:val="24"/>
          <w:szCs w:val="24"/>
        </w:rPr>
        <w:t xml:space="preserve">an interest that would justify </w:t>
      </w:r>
      <w:r w:rsidR="002A7BC7" w:rsidRPr="0086166A">
        <w:rPr>
          <w:rFonts w:ascii="Bookman Old Style" w:hAnsi="Bookman Old Style"/>
          <w:b/>
          <w:bCs/>
          <w:i/>
          <w:iCs/>
          <w:sz w:val="24"/>
          <w:szCs w:val="24"/>
          <w:u w:val="single"/>
        </w:rPr>
        <w:t>denying</w:t>
      </w:r>
      <w:r w:rsidR="002A7BC7" w:rsidRPr="0086166A">
        <w:rPr>
          <w:rFonts w:ascii="Bookman Old Style" w:hAnsi="Bookman Old Style"/>
          <w:sz w:val="24"/>
          <w:szCs w:val="24"/>
        </w:rPr>
        <w:t xml:space="preserve"> an exception to the law. Clearly exemptions are possible as the “Guidance Regarding Petitions for Religious Exemption from the Controlled Substances Act Pursuant to the Religious Freedom Restoration Act” is promulgated by the Drug Enforcement Agency. </w:t>
      </w:r>
    </w:p>
    <w:p w14:paraId="09C14906" w14:textId="77777777" w:rsidR="001B0431" w:rsidRPr="0028592C" w:rsidRDefault="002A7BC7">
      <w:pPr>
        <w:spacing w:line="480" w:lineRule="auto"/>
        <w:ind w:firstLine="1440"/>
        <w:jc w:val="both"/>
        <w:rPr>
          <w:rFonts w:ascii="Bookman Old Style" w:hAnsi="Bookman Old Style"/>
          <w:sz w:val="24"/>
          <w:szCs w:val="24"/>
        </w:rPr>
      </w:pPr>
      <w:r w:rsidRPr="0028592C">
        <w:rPr>
          <w:rFonts w:ascii="Bookman Old Style" w:hAnsi="Bookman Old Style"/>
          <w:sz w:val="24"/>
          <w:szCs w:val="24"/>
        </w:rPr>
        <w:t xml:space="preserve">Another change that supports Mr. </w:t>
      </w:r>
      <w:proofErr w:type="spellStart"/>
      <w:r w:rsidRPr="0028592C">
        <w:rPr>
          <w:rFonts w:ascii="Bookman Old Style" w:hAnsi="Bookman Old Style"/>
          <w:sz w:val="24"/>
          <w:szCs w:val="24"/>
        </w:rPr>
        <w:t>Schworck’s</w:t>
      </w:r>
      <w:proofErr w:type="spellEnd"/>
      <w:r w:rsidRPr="0028592C">
        <w:rPr>
          <w:rFonts w:ascii="Bookman Old Style" w:hAnsi="Bookman Old Style"/>
          <w:sz w:val="24"/>
          <w:szCs w:val="24"/>
        </w:rPr>
        <w:t xml:space="preserve"> position is the weakened state of the compelling government interest in the regulation of marijuana. The Fulton Court explains that when strict scrutiny is employed this is a distinction that makes a difference: </w:t>
      </w:r>
    </w:p>
    <w:p w14:paraId="571B30DD" w14:textId="77777777" w:rsidR="001B0431" w:rsidRPr="001612E9" w:rsidRDefault="002A7BC7">
      <w:pPr>
        <w:ind w:left="1440" w:right="1440"/>
        <w:jc w:val="both"/>
        <w:rPr>
          <w:rFonts w:ascii="Bookman Old Style" w:hAnsi="Bookman Old Style" w:cs="Helvetica"/>
          <w:b/>
          <w:color w:val="548DD4" w:themeColor="text2" w:themeTint="99"/>
          <w:sz w:val="24"/>
          <w:szCs w:val="24"/>
          <w:shd w:val="clear" w:color="000000" w:fill="FFFFFF"/>
        </w:rPr>
      </w:pPr>
      <w:r w:rsidRPr="001612E9">
        <w:rPr>
          <w:rFonts w:ascii="Bookman Old Style" w:hAnsi="Bookman Old Style" w:cs="Helvetica"/>
          <w:color w:val="548DD4" w:themeColor="text2" w:themeTint="99"/>
          <w:sz w:val="24"/>
          <w:szCs w:val="24"/>
          <w:shd w:val="clear" w:color="000000" w:fill="FFFFFF"/>
        </w:rPr>
        <w:t xml:space="preserve">A government policy can survive strict scrutiny only if it advances "interests of the highest order" and is narrowly tailored to achieve those interests. </w:t>
      </w:r>
      <w:proofErr w:type="spellStart"/>
      <w:r w:rsidRPr="0086166A">
        <w:rPr>
          <w:rFonts w:ascii="Bookman Old Style" w:hAnsi="Bookman Old Style" w:cs="Helvetica"/>
          <w:i/>
          <w:iCs/>
          <w:color w:val="548DD4" w:themeColor="text2" w:themeTint="99"/>
          <w:sz w:val="24"/>
          <w:szCs w:val="24"/>
          <w:shd w:val="clear" w:color="000000" w:fill="FFFFFF"/>
        </w:rPr>
        <w:t>Lukumi</w:t>
      </w:r>
      <w:proofErr w:type="spellEnd"/>
      <w:r w:rsidRPr="001612E9">
        <w:rPr>
          <w:rFonts w:ascii="Bookman Old Style" w:hAnsi="Bookman Old Style" w:cs="Helvetica"/>
          <w:color w:val="548DD4" w:themeColor="text2" w:themeTint="99"/>
          <w:sz w:val="24"/>
          <w:szCs w:val="24"/>
          <w:shd w:val="clear" w:color="000000" w:fill="FFFFFF"/>
        </w:rPr>
        <w:t xml:space="preserve">, 508 U. S., at 546 (internal quotation marks omitted). </w:t>
      </w:r>
      <w:r w:rsidRPr="001612E9">
        <w:rPr>
          <w:rFonts w:ascii="Bookman Old Style" w:hAnsi="Bookman Old Style" w:cs="Helvetica"/>
          <w:b/>
          <w:color w:val="548DD4" w:themeColor="text2" w:themeTint="99"/>
          <w:sz w:val="24"/>
          <w:szCs w:val="24"/>
          <w:shd w:val="clear" w:color="000000" w:fill="FFFFFF"/>
        </w:rPr>
        <w:t>Put another way, so long as the government can achieve its interests in a manner that does not burden religion, it must do so.</w:t>
      </w:r>
    </w:p>
    <w:p w14:paraId="492E6547" w14:textId="77777777" w:rsidR="001B0431" w:rsidRPr="001612E9" w:rsidRDefault="001B0431">
      <w:pPr>
        <w:ind w:right="1440"/>
        <w:rPr>
          <w:rFonts w:ascii="Bookman Old Style" w:hAnsi="Bookman Old Style" w:cs="Helvetica"/>
          <w:color w:val="548DD4" w:themeColor="text2" w:themeTint="99"/>
          <w:sz w:val="24"/>
          <w:szCs w:val="24"/>
          <w:shd w:val="clear" w:color="000000" w:fill="FFFFFF"/>
        </w:rPr>
      </w:pPr>
    </w:p>
    <w:p w14:paraId="13F02A37" w14:textId="77777777" w:rsidR="001B0431" w:rsidRPr="001612E9" w:rsidRDefault="002A7BC7">
      <w:pPr>
        <w:ind w:right="1440"/>
        <w:rPr>
          <w:rFonts w:ascii="Bookman Old Style" w:hAnsi="Bookman Old Style" w:cs="Helvetica"/>
          <w:color w:val="548DD4" w:themeColor="text2" w:themeTint="99"/>
          <w:sz w:val="24"/>
          <w:szCs w:val="24"/>
          <w:shd w:val="clear" w:color="000000" w:fill="FFFFFF"/>
        </w:rPr>
      </w:pPr>
      <w:r w:rsidRPr="001612E9">
        <w:rPr>
          <w:rFonts w:ascii="Bookman Old Style" w:hAnsi="Bookman Old Style" w:cs="Helvetica"/>
          <w:i/>
          <w:color w:val="548DD4" w:themeColor="text2" w:themeTint="99"/>
          <w:sz w:val="24"/>
          <w:szCs w:val="24"/>
          <w:shd w:val="clear" w:color="000000" w:fill="FFFFFF"/>
        </w:rPr>
        <w:t>Fulton v. City of Phila</w:t>
      </w:r>
      <w:r w:rsidRPr="001612E9">
        <w:rPr>
          <w:rFonts w:ascii="Bookman Old Style" w:hAnsi="Bookman Old Style" w:cs="Helvetica"/>
          <w:color w:val="548DD4" w:themeColor="text2" w:themeTint="99"/>
          <w:sz w:val="24"/>
          <w:szCs w:val="24"/>
          <w:shd w:val="clear" w:color="000000" w:fill="FFFFFF"/>
        </w:rPr>
        <w:t>. (2021).</w:t>
      </w:r>
    </w:p>
    <w:p w14:paraId="7F903626" w14:textId="77777777" w:rsidR="001B0431" w:rsidRPr="001612E9" w:rsidRDefault="001B0431">
      <w:pPr>
        <w:ind w:right="1440"/>
        <w:rPr>
          <w:rFonts w:ascii="Bookman Old Style" w:hAnsi="Bookman Old Style" w:cs="Helvetica"/>
          <w:color w:val="548DD4" w:themeColor="text2" w:themeTint="99"/>
          <w:sz w:val="24"/>
          <w:szCs w:val="24"/>
          <w:shd w:val="clear" w:color="000000" w:fill="FFFFFF"/>
        </w:rPr>
      </w:pPr>
    </w:p>
    <w:p w14:paraId="5A7A5C85" w14:textId="77777777" w:rsidR="001B0431" w:rsidRPr="00984E66" w:rsidRDefault="002A7BC7">
      <w:pPr>
        <w:spacing w:line="480" w:lineRule="auto"/>
        <w:ind w:firstLine="1440"/>
        <w:jc w:val="both"/>
        <w:rPr>
          <w:rFonts w:ascii="Bookman Old Style" w:hAnsi="Bookman Old Style"/>
          <w:sz w:val="24"/>
          <w:szCs w:val="24"/>
        </w:rPr>
      </w:pPr>
      <w:r w:rsidRPr="00984E66">
        <w:rPr>
          <w:rFonts w:ascii="Bookman Old Style" w:hAnsi="Bookman Old Style"/>
          <w:sz w:val="24"/>
          <w:szCs w:val="24"/>
        </w:rPr>
        <w:t>The City of Madison</w:t>
      </w:r>
      <w:r w:rsidR="0086166A" w:rsidRPr="00984E66">
        <w:rPr>
          <w:rFonts w:ascii="Bookman Old Style" w:hAnsi="Bookman Old Style"/>
          <w:sz w:val="24"/>
          <w:szCs w:val="24"/>
        </w:rPr>
        <w:t xml:space="preserve"> Police Department </w:t>
      </w:r>
      <w:r w:rsidRPr="00984E66">
        <w:rPr>
          <w:rFonts w:ascii="Bookman Old Style" w:hAnsi="Bookman Old Style"/>
          <w:sz w:val="24"/>
          <w:szCs w:val="24"/>
        </w:rPr>
        <w:t xml:space="preserve">was </w:t>
      </w:r>
      <w:r w:rsidR="0086166A" w:rsidRPr="00984E66">
        <w:rPr>
          <w:rFonts w:ascii="Bookman Old Style" w:hAnsi="Bookman Old Style"/>
          <w:sz w:val="24"/>
          <w:szCs w:val="24"/>
        </w:rPr>
        <w:t>the</w:t>
      </w:r>
      <w:r w:rsidRPr="00984E66">
        <w:rPr>
          <w:rFonts w:ascii="Bookman Old Style" w:hAnsi="Bookman Old Style"/>
          <w:sz w:val="24"/>
          <w:szCs w:val="24"/>
        </w:rPr>
        <w:t xml:space="preserve"> driving force behind the investigation</w:t>
      </w:r>
      <w:r w:rsidR="0086166A" w:rsidRPr="00984E66">
        <w:rPr>
          <w:rFonts w:ascii="Bookman Old Style" w:hAnsi="Bookman Old Style"/>
          <w:sz w:val="24"/>
          <w:szCs w:val="24"/>
        </w:rPr>
        <w:t xml:space="preserve"> of the church. The City of Madison </w:t>
      </w:r>
      <w:r w:rsidRPr="00984E66">
        <w:rPr>
          <w:rFonts w:ascii="Bookman Old Style" w:hAnsi="Bookman Old Style"/>
          <w:sz w:val="24"/>
          <w:szCs w:val="24"/>
        </w:rPr>
        <w:t xml:space="preserve">has since enacted MGO 23.20 – REGULATIONS CONCERNING CANNABIS. </w:t>
      </w:r>
      <w:r w:rsidR="00E770A5" w:rsidRPr="00984E66">
        <w:rPr>
          <w:rFonts w:ascii="Bookman Old Style" w:hAnsi="Bookman Old Style"/>
          <w:sz w:val="24"/>
          <w:szCs w:val="24"/>
        </w:rPr>
        <w:t>The</w:t>
      </w:r>
      <w:r w:rsidRPr="00984E66">
        <w:rPr>
          <w:rFonts w:ascii="Bookman Old Style" w:hAnsi="Bookman Old Style"/>
          <w:sz w:val="24"/>
          <w:szCs w:val="24"/>
        </w:rPr>
        <w:t xml:space="preserve"> most pertinent language of the ordinance is:</w:t>
      </w:r>
    </w:p>
    <w:p w14:paraId="233C38F4" w14:textId="77777777" w:rsidR="001B0431" w:rsidRPr="00984E66" w:rsidRDefault="002A7BC7">
      <w:pPr>
        <w:ind w:left="1440" w:right="1440"/>
        <w:jc w:val="both"/>
        <w:rPr>
          <w:rFonts w:ascii="Bookman Old Style" w:hAnsi="Bookman Old Style" w:cs="Helvetica"/>
          <w:sz w:val="24"/>
          <w:szCs w:val="24"/>
          <w:shd w:val="clear" w:color="000000" w:fill="FFFFFF"/>
        </w:rPr>
      </w:pPr>
      <w:r w:rsidRPr="00984E66">
        <w:rPr>
          <w:rFonts w:ascii="Bookman Old Style" w:hAnsi="Bookman Old Style" w:cs="Helvetica"/>
          <w:sz w:val="24"/>
          <w:szCs w:val="24"/>
          <w:shd w:val="clear" w:color="000000" w:fill="FFFFFF"/>
        </w:rPr>
        <w:t xml:space="preserve">(2) </w:t>
      </w:r>
      <w:proofErr w:type="gramStart"/>
      <w:r w:rsidRPr="00984E66">
        <w:rPr>
          <w:rFonts w:ascii="Bookman Old Style" w:hAnsi="Bookman Old Style" w:cs="Helvetica"/>
          <w:sz w:val="24"/>
          <w:szCs w:val="24"/>
          <w:shd w:val="clear" w:color="000000" w:fill="FFFFFF"/>
        </w:rPr>
        <w:t>Possession .</w:t>
      </w:r>
      <w:proofErr w:type="gramEnd"/>
      <w:r w:rsidRPr="00984E66">
        <w:rPr>
          <w:rFonts w:ascii="Bookman Old Style" w:hAnsi="Bookman Old Style" w:cs="Helvetica"/>
          <w:sz w:val="24"/>
          <w:szCs w:val="24"/>
          <w:shd w:val="clear" w:color="000000" w:fill="FFFFFF"/>
        </w:rPr>
        <w:t xml:space="preserve"> A person who is eighteen (18) years of age or older may possess</w:t>
      </w:r>
      <w:r w:rsidR="00E770A5" w:rsidRPr="00984E66">
        <w:rPr>
          <w:rFonts w:ascii="Bookman Old Style" w:hAnsi="Bookman Old Style" w:cs="Helvetica"/>
          <w:sz w:val="24"/>
          <w:szCs w:val="24"/>
          <w:shd w:val="clear" w:color="000000" w:fill="FFFFFF"/>
        </w:rPr>
        <w:t xml:space="preserve"> cannabis or </w:t>
      </w:r>
      <w:r w:rsidRPr="00984E66">
        <w:rPr>
          <w:rFonts w:ascii="Bookman Old Style" w:hAnsi="Bookman Old Style" w:cs="Helvetica"/>
          <w:sz w:val="24"/>
          <w:szCs w:val="24"/>
          <w:shd w:val="clear" w:color="000000" w:fill="FFFFFF"/>
        </w:rPr>
        <w:t> cannabis or cannabis derivatives in an amount not to exceed twenty-eight (28) grams on public property with the permission of the property owner, landlord or tenant or on private property. Exceptions:</w:t>
      </w:r>
      <w:r w:rsidRPr="00984E66">
        <w:rPr>
          <w:rStyle w:val="FootnoteReference"/>
          <w:rFonts w:ascii="Bookman Old Style" w:hAnsi="Bookman Old Style" w:cs="Helvetica"/>
          <w:sz w:val="24"/>
          <w:szCs w:val="24"/>
          <w:shd w:val="clear" w:color="000000" w:fill="FFFFFF"/>
        </w:rPr>
        <w:footnoteReference w:id="4"/>
      </w:r>
    </w:p>
    <w:p w14:paraId="5861ABED" w14:textId="77777777" w:rsidR="001B0431" w:rsidRPr="00984E66" w:rsidRDefault="001B0431">
      <w:pPr>
        <w:ind w:right="1440"/>
        <w:rPr>
          <w:rFonts w:ascii="Bookman Old Style" w:hAnsi="Bookman Old Style" w:cs="Helvetica"/>
          <w:sz w:val="24"/>
          <w:szCs w:val="24"/>
          <w:shd w:val="clear" w:color="000000" w:fill="FFFFFF"/>
        </w:rPr>
      </w:pPr>
    </w:p>
    <w:p w14:paraId="360D8149" w14:textId="77777777" w:rsidR="0028592C" w:rsidRPr="00AF3E63" w:rsidRDefault="0028592C">
      <w:pPr>
        <w:spacing w:line="480" w:lineRule="auto"/>
        <w:ind w:firstLine="1440"/>
        <w:jc w:val="both"/>
        <w:rPr>
          <w:rFonts w:ascii="Bookman Old Style" w:hAnsi="Bookman Old Style"/>
          <w:sz w:val="24"/>
          <w:szCs w:val="24"/>
        </w:rPr>
      </w:pPr>
      <w:r w:rsidRPr="00AF3E63">
        <w:rPr>
          <w:rFonts w:ascii="Bookman Old Style" w:hAnsi="Bookman Old Style"/>
          <w:sz w:val="24"/>
          <w:szCs w:val="24"/>
        </w:rPr>
        <w:t xml:space="preserve">It is difficult to understand how the State could argue that marijuana prohibition advances “interests of the highest order,” when it must make that argument in the middle of the </w:t>
      </w:r>
      <w:r w:rsidR="00AF3E63" w:rsidRPr="00AF3E63">
        <w:rPr>
          <w:rFonts w:ascii="Bookman Old Style" w:hAnsi="Bookman Old Style"/>
          <w:sz w:val="24"/>
          <w:szCs w:val="24"/>
        </w:rPr>
        <w:t xml:space="preserve">City of Madison which by ordinance </w:t>
      </w:r>
      <w:r w:rsidRPr="00AF3E63">
        <w:rPr>
          <w:rFonts w:ascii="Bookman Old Style" w:hAnsi="Bookman Old Style"/>
          <w:sz w:val="24"/>
          <w:szCs w:val="24"/>
        </w:rPr>
        <w:t>allows possession and recreational use</w:t>
      </w:r>
      <w:r w:rsidR="00AF3E63" w:rsidRPr="00AF3E63">
        <w:rPr>
          <w:rFonts w:ascii="Bookman Old Style" w:hAnsi="Bookman Old Style"/>
          <w:sz w:val="24"/>
          <w:szCs w:val="24"/>
        </w:rPr>
        <w:t xml:space="preserve"> of the exact same substance as the sacrament </w:t>
      </w:r>
      <w:r w:rsidR="00AF3E63">
        <w:rPr>
          <w:rFonts w:ascii="Bookman Old Style" w:hAnsi="Bookman Old Style"/>
          <w:sz w:val="24"/>
          <w:szCs w:val="24"/>
        </w:rPr>
        <w:t>shared by</w:t>
      </w:r>
      <w:r w:rsidR="00AF3E63" w:rsidRPr="00AF3E63">
        <w:rPr>
          <w:rFonts w:ascii="Bookman Old Style" w:hAnsi="Bookman Old Style"/>
          <w:sz w:val="24"/>
          <w:szCs w:val="24"/>
        </w:rPr>
        <w:t xml:space="preserve"> members at Lion of Judah House of Rastafari Church. </w:t>
      </w:r>
      <w:r w:rsidRPr="00AF3E63">
        <w:rPr>
          <w:rFonts w:ascii="Bookman Old Style" w:hAnsi="Bookman Old Style"/>
          <w:sz w:val="24"/>
          <w:szCs w:val="24"/>
        </w:rPr>
        <w:t xml:space="preserve"> </w:t>
      </w:r>
    </w:p>
    <w:p w14:paraId="3F258D5C" w14:textId="77777777" w:rsidR="0028592C" w:rsidRDefault="0028592C">
      <w:pPr>
        <w:spacing w:line="480" w:lineRule="auto"/>
        <w:ind w:firstLine="1440"/>
        <w:jc w:val="both"/>
        <w:rPr>
          <w:rFonts w:ascii="Bookman Old Style" w:hAnsi="Bookman Old Style"/>
          <w:color w:val="548DD4" w:themeColor="text2" w:themeTint="99"/>
          <w:sz w:val="24"/>
          <w:szCs w:val="24"/>
        </w:rPr>
      </w:pPr>
    </w:p>
    <w:p w14:paraId="1EACD2F9" w14:textId="77777777" w:rsidR="001B0431" w:rsidRPr="002E0DFC" w:rsidRDefault="002A7BC7">
      <w:pPr>
        <w:spacing w:line="480" w:lineRule="auto"/>
        <w:ind w:firstLine="1440"/>
        <w:jc w:val="both"/>
        <w:rPr>
          <w:rFonts w:ascii="Bookman Old Style" w:hAnsi="Bookman Old Style"/>
          <w:sz w:val="24"/>
          <w:szCs w:val="24"/>
        </w:rPr>
      </w:pPr>
      <w:r w:rsidRPr="00AF3E63">
        <w:rPr>
          <w:rFonts w:ascii="Bookman Old Style" w:hAnsi="Bookman Old Style"/>
          <w:sz w:val="24"/>
          <w:szCs w:val="24"/>
        </w:rPr>
        <w:t xml:space="preserve">Mr Schworck is aware of the distinction between a bail condition and a law. Nevertheless, the special condition of his bail </w:t>
      </w:r>
      <w:r w:rsidR="0086166A" w:rsidRPr="00AF3E63">
        <w:rPr>
          <w:rFonts w:ascii="Bookman Old Style" w:hAnsi="Bookman Old Style"/>
          <w:sz w:val="24"/>
          <w:szCs w:val="24"/>
        </w:rPr>
        <w:t>prohibits</w:t>
      </w:r>
      <w:r w:rsidRPr="00AF3E63">
        <w:rPr>
          <w:rFonts w:ascii="Bookman Old Style" w:hAnsi="Bookman Old Style"/>
          <w:sz w:val="24"/>
          <w:szCs w:val="24"/>
        </w:rPr>
        <w:t xml:space="preserve"> Mr. Schworck</w:t>
      </w:r>
      <w:r w:rsidR="0086166A" w:rsidRPr="00AF3E63">
        <w:rPr>
          <w:rFonts w:ascii="Bookman Old Style" w:hAnsi="Bookman Old Style"/>
          <w:sz w:val="24"/>
          <w:szCs w:val="24"/>
        </w:rPr>
        <w:t xml:space="preserve"> from</w:t>
      </w:r>
      <w:r w:rsidRPr="00AF3E63">
        <w:rPr>
          <w:rFonts w:ascii="Bookman Old Style" w:hAnsi="Bookman Old Style"/>
          <w:sz w:val="24"/>
          <w:szCs w:val="24"/>
        </w:rPr>
        <w:t xml:space="preserve"> </w:t>
      </w:r>
      <w:r w:rsidR="0086166A" w:rsidRPr="00AF3E63">
        <w:rPr>
          <w:rFonts w:ascii="Bookman Old Style" w:hAnsi="Bookman Old Style"/>
          <w:sz w:val="24"/>
          <w:szCs w:val="24"/>
        </w:rPr>
        <w:t xml:space="preserve">using his </w:t>
      </w:r>
      <w:r w:rsidRPr="00AF3E63">
        <w:rPr>
          <w:rFonts w:ascii="Bookman Old Style" w:hAnsi="Bookman Old Style"/>
          <w:sz w:val="24"/>
          <w:szCs w:val="24"/>
        </w:rPr>
        <w:t xml:space="preserve">sacrament </w:t>
      </w:r>
      <w:r w:rsidR="0086166A" w:rsidRPr="00AF3E63">
        <w:rPr>
          <w:rFonts w:ascii="Bookman Old Style" w:hAnsi="Bookman Old Style"/>
          <w:sz w:val="24"/>
          <w:szCs w:val="24"/>
        </w:rPr>
        <w:t xml:space="preserve">entheogen </w:t>
      </w:r>
      <w:r w:rsidRPr="00AF3E63">
        <w:rPr>
          <w:rFonts w:ascii="Bookman Old Style" w:hAnsi="Bookman Old Style"/>
          <w:sz w:val="24"/>
          <w:szCs w:val="24"/>
        </w:rPr>
        <w:t>central to his religion,</w:t>
      </w:r>
      <w:r w:rsidR="00AF3E63">
        <w:rPr>
          <w:rFonts w:ascii="Bookman Old Style" w:hAnsi="Bookman Old Style"/>
          <w:sz w:val="24"/>
          <w:szCs w:val="24"/>
        </w:rPr>
        <w:t xml:space="preserve"> while </w:t>
      </w:r>
      <w:r w:rsidR="002E0DFC">
        <w:rPr>
          <w:rFonts w:ascii="Bookman Old Style" w:hAnsi="Bookman Old Style"/>
          <w:sz w:val="24"/>
          <w:szCs w:val="24"/>
        </w:rPr>
        <w:t>secular use is not prohibited in any way.</w:t>
      </w:r>
      <w:r w:rsidR="0017063A" w:rsidRPr="00AF3E63">
        <w:rPr>
          <w:rFonts w:ascii="Bookman Old Style" w:hAnsi="Bookman Old Style"/>
          <w:sz w:val="24"/>
          <w:szCs w:val="24"/>
        </w:rPr>
        <w:t xml:space="preserve"> </w:t>
      </w:r>
      <w:r w:rsidR="002E0DFC">
        <w:rPr>
          <w:rFonts w:ascii="Bookman Old Style" w:hAnsi="Bookman Old Style"/>
          <w:sz w:val="24"/>
          <w:szCs w:val="24"/>
        </w:rPr>
        <w:t xml:space="preserve">Permitting secular conduct while prohibiting </w:t>
      </w:r>
      <w:proofErr w:type="spellStart"/>
      <w:r w:rsidR="002E0DFC">
        <w:rPr>
          <w:rFonts w:ascii="Bookman Old Style" w:hAnsi="Bookman Old Style"/>
          <w:sz w:val="24"/>
          <w:szCs w:val="24"/>
        </w:rPr>
        <w:t>simlar</w:t>
      </w:r>
      <w:proofErr w:type="spellEnd"/>
      <w:r w:rsidR="002E0DFC">
        <w:rPr>
          <w:rFonts w:ascii="Bookman Old Style" w:hAnsi="Bookman Old Style"/>
          <w:sz w:val="24"/>
          <w:szCs w:val="24"/>
        </w:rPr>
        <w:t xml:space="preserve"> religious conduct </w:t>
      </w:r>
      <w:proofErr w:type="spellStart"/>
      <w:r w:rsidR="002E0DFC" w:rsidRPr="002E0DFC">
        <w:rPr>
          <w:rFonts w:ascii="Bookman Old Style" w:hAnsi="Bookman Old Style"/>
          <w:sz w:val="24"/>
          <w:szCs w:val="24"/>
        </w:rPr>
        <w:t>underminds</w:t>
      </w:r>
      <w:proofErr w:type="spellEnd"/>
      <w:r w:rsidR="002E0DFC" w:rsidRPr="002E0DFC">
        <w:rPr>
          <w:rFonts w:ascii="Bookman Old Style" w:hAnsi="Bookman Old Style"/>
          <w:sz w:val="24"/>
          <w:szCs w:val="24"/>
        </w:rPr>
        <w:t xml:space="preserve"> the state’s assertion of a compelling interest. Again, this settled law is restated in Fulton: </w:t>
      </w:r>
      <w:r w:rsidR="0017063A" w:rsidRPr="002E0DFC">
        <w:rPr>
          <w:rFonts w:ascii="Bookman Old Style" w:hAnsi="Bookman Old Style"/>
          <w:sz w:val="24"/>
          <w:szCs w:val="24"/>
        </w:rPr>
        <w:t xml:space="preserve">  </w:t>
      </w:r>
    </w:p>
    <w:p w14:paraId="6726580C" w14:textId="77777777" w:rsidR="001B0431" w:rsidRPr="002E0DFC" w:rsidRDefault="002A7BC7">
      <w:pPr>
        <w:ind w:left="1440" w:right="1440"/>
        <w:jc w:val="both"/>
        <w:rPr>
          <w:rFonts w:ascii="Bookman Old Style" w:hAnsi="Bookman Old Style" w:cs="Helvetica"/>
          <w:sz w:val="24"/>
          <w:szCs w:val="24"/>
          <w:shd w:val="clear" w:color="000000" w:fill="FFFFFF"/>
        </w:rPr>
      </w:pPr>
      <w:r w:rsidRPr="002E0DFC">
        <w:rPr>
          <w:rFonts w:ascii="Bookman Old Style" w:hAnsi="Bookman Old Style" w:cs="Helvetica"/>
          <w:sz w:val="24"/>
          <w:szCs w:val="24"/>
          <w:shd w:val="clear" w:color="000000" w:fill="FFFFFF"/>
        </w:rPr>
        <w:t xml:space="preserve">A law also lacks general applicability if it prohibits religious conduct while permitting secular conduct that undermines the government's asserted interests in a similar way. See id., at 542-546. </w:t>
      </w:r>
      <w:r w:rsidRPr="002E0DFC">
        <w:rPr>
          <w:rFonts w:ascii="Bookman Old Style" w:hAnsi="Bookman Old Style" w:cs="Helvetica"/>
          <w:i/>
          <w:sz w:val="24"/>
          <w:szCs w:val="24"/>
          <w:shd w:val="clear" w:color="000000" w:fill="FFFFFF"/>
        </w:rPr>
        <w:t xml:space="preserve">In Church of </w:t>
      </w:r>
      <w:proofErr w:type="spellStart"/>
      <w:r w:rsidRPr="002E0DFC">
        <w:rPr>
          <w:rFonts w:ascii="Bookman Old Style" w:hAnsi="Bookman Old Style" w:cs="Helvetica"/>
          <w:i/>
          <w:sz w:val="24"/>
          <w:szCs w:val="24"/>
          <w:shd w:val="clear" w:color="000000" w:fill="FFFFFF"/>
        </w:rPr>
        <w:t>Lukumi</w:t>
      </w:r>
      <w:proofErr w:type="spellEnd"/>
      <w:r w:rsidRPr="002E0DFC">
        <w:rPr>
          <w:rFonts w:ascii="Bookman Old Style" w:hAnsi="Bookman Old Style" w:cs="Helvetica"/>
          <w:i/>
          <w:sz w:val="24"/>
          <w:szCs w:val="24"/>
          <w:shd w:val="clear" w:color="000000" w:fill="FFFFFF"/>
        </w:rPr>
        <w:t xml:space="preserve"> </w:t>
      </w:r>
      <w:proofErr w:type="spellStart"/>
      <w:r w:rsidRPr="002E0DFC">
        <w:rPr>
          <w:rFonts w:ascii="Bookman Old Style" w:hAnsi="Bookman Old Style" w:cs="Helvetica"/>
          <w:i/>
          <w:sz w:val="24"/>
          <w:szCs w:val="24"/>
          <w:shd w:val="clear" w:color="000000" w:fill="FFFFFF"/>
        </w:rPr>
        <w:t>Babalu</w:t>
      </w:r>
      <w:proofErr w:type="spellEnd"/>
      <w:r w:rsidRPr="002E0DFC">
        <w:rPr>
          <w:rFonts w:ascii="Bookman Old Style" w:hAnsi="Bookman Old Style" w:cs="Helvetica"/>
          <w:i/>
          <w:sz w:val="24"/>
          <w:szCs w:val="24"/>
          <w:shd w:val="clear" w:color="000000" w:fill="FFFFFF"/>
        </w:rPr>
        <w:t xml:space="preserve"> Aye, Inc. v. </w:t>
      </w:r>
      <w:proofErr w:type="gramStart"/>
      <w:r w:rsidRPr="002E0DFC">
        <w:rPr>
          <w:rFonts w:ascii="Bookman Old Style" w:hAnsi="Bookman Old Style" w:cs="Helvetica"/>
          <w:i/>
          <w:sz w:val="24"/>
          <w:szCs w:val="24"/>
          <w:shd w:val="clear" w:color="000000" w:fill="FFFFFF"/>
        </w:rPr>
        <w:t>Hialeah,...</w:t>
      </w:r>
      <w:proofErr w:type="gramEnd"/>
      <w:r w:rsidRPr="002E0DFC">
        <w:rPr>
          <w:rFonts w:ascii="Bookman Old Style" w:hAnsi="Bookman Old Style" w:cs="Helvetica"/>
          <w:i/>
          <w:sz w:val="24"/>
          <w:szCs w:val="24"/>
          <w:shd w:val="clear" w:color="000000" w:fill="FFFFFF"/>
        </w:rPr>
        <w:t>"</w:t>
      </w:r>
      <w:r w:rsidRPr="002E0DFC">
        <w:rPr>
          <w:rFonts w:ascii="Bookman Old Style" w:hAnsi="Bookman Old Style" w:cs="Helvetica"/>
          <w:sz w:val="24"/>
          <w:szCs w:val="24"/>
          <w:shd w:val="clear" w:color="000000" w:fill="FFFFFF"/>
        </w:rPr>
        <w:t xml:space="preserve"> </w:t>
      </w:r>
    </w:p>
    <w:p w14:paraId="450CAA09" w14:textId="77777777" w:rsidR="001B0431" w:rsidRPr="002E0DFC" w:rsidRDefault="001B0431">
      <w:pPr>
        <w:ind w:right="1440"/>
        <w:rPr>
          <w:rFonts w:ascii="Bookman Old Style" w:hAnsi="Bookman Old Style" w:cs="Helvetica"/>
          <w:sz w:val="24"/>
          <w:szCs w:val="24"/>
          <w:shd w:val="clear" w:color="000000" w:fill="FFFFFF"/>
        </w:rPr>
      </w:pPr>
    </w:p>
    <w:p w14:paraId="11E407C5" w14:textId="77777777" w:rsidR="001B0431" w:rsidRPr="002E0DFC" w:rsidRDefault="002A7BC7">
      <w:pPr>
        <w:ind w:right="1440"/>
        <w:rPr>
          <w:rFonts w:ascii="Bookman Old Style" w:hAnsi="Bookman Old Style" w:cs="Helvetica"/>
          <w:sz w:val="24"/>
          <w:szCs w:val="24"/>
          <w:shd w:val="clear" w:color="000000" w:fill="FFFFFF"/>
        </w:rPr>
      </w:pPr>
      <w:r w:rsidRPr="002E0DFC">
        <w:rPr>
          <w:rFonts w:ascii="Bookman Old Style" w:hAnsi="Bookman Old Style" w:cs="Helvetica"/>
          <w:sz w:val="24"/>
          <w:szCs w:val="24"/>
          <w:highlight w:val="yellow"/>
          <w:shd w:val="clear" w:color="000000" w:fill="FFFFFF"/>
        </w:rPr>
        <w:t>Fulton v. City of Phila. (2021)</w:t>
      </w:r>
    </w:p>
    <w:p w14:paraId="740AC4A4" w14:textId="77777777" w:rsidR="001B0431" w:rsidRPr="001612E9" w:rsidRDefault="001B0431">
      <w:pPr>
        <w:ind w:right="1440"/>
        <w:rPr>
          <w:rFonts w:ascii="Bookman Old Style" w:hAnsi="Bookman Old Style" w:cs="Helvetica"/>
          <w:color w:val="548DD4" w:themeColor="text2" w:themeTint="99"/>
          <w:sz w:val="24"/>
          <w:szCs w:val="24"/>
          <w:shd w:val="clear" w:color="000000" w:fill="FFFFFF"/>
        </w:rPr>
      </w:pPr>
    </w:p>
    <w:p w14:paraId="5C26AAA2" w14:textId="77777777" w:rsidR="001B0431" w:rsidRPr="001612E9" w:rsidRDefault="002E0DFC">
      <w:pPr>
        <w:spacing w:line="480" w:lineRule="auto"/>
        <w:ind w:firstLine="1440"/>
        <w:jc w:val="both"/>
        <w:rPr>
          <w:rFonts w:ascii="Bookman Old Style" w:hAnsi="Bookman Old Style"/>
          <w:color w:val="548DD4" w:themeColor="text2" w:themeTint="99"/>
          <w:sz w:val="24"/>
          <w:szCs w:val="24"/>
        </w:rPr>
      </w:pPr>
      <w:r>
        <w:rPr>
          <w:rFonts w:ascii="Bookman Old Style" w:hAnsi="Bookman Old Style"/>
          <w:color w:val="548DD4" w:themeColor="text2" w:themeTint="99"/>
          <w:sz w:val="24"/>
          <w:szCs w:val="24"/>
        </w:rPr>
        <w:t xml:space="preserve">The discrimination in Wisconsin law is best illustrated by </w:t>
      </w:r>
      <w:r w:rsidR="002A7BC7" w:rsidRPr="001612E9">
        <w:rPr>
          <w:rFonts w:ascii="Bookman Old Style" w:hAnsi="Bookman Old Style"/>
          <w:color w:val="548DD4" w:themeColor="text2" w:themeTint="99"/>
          <w:sz w:val="24"/>
          <w:szCs w:val="24"/>
        </w:rPr>
        <w:t xml:space="preserve">Wis. Stat. 302.375(2m) which reads in pertinent part: </w:t>
      </w:r>
    </w:p>
    <w:p w14:paraId="526CE7C9" w14:textId="77777777" w:rsidR="001B0431" w:rsidRPr="001612E9" w:rsidRDefault="002A7BC7">
      <w:pPr>
        <w:ind w:left="1440" w:right="1440"/>
        <w:jc w:val="both"/>
        <w:rPr>
          <w:rFonts w:ascii="Bookman Old Style" w:hAnsi="Bookman Old Style" w:cs="Helvetica"/>
          <w:color w:val="548DD4" w:themeColor="text2" w:themeTint="99"/>
          <w:sz w:val="24"/>
          <w:szCs w:val="24"/>
          <w:shd w:val="clear" w:color="000000" w:fill="FFFFFF"/>
        </w:rPr>
      </w:pPr>
      <w:r w:rsidRPr="001612E9">
        <w:rPr>
          <w:rFonts w:ascii="Bookman Old Style" w:hAnsi="Bookman Old Style" w:cs="Helvetica"/>
          <w:color w:val="548DD4" w:themeColor="text2" w:themeTint="99"/>
          <w:sz w:val="24"/>
          <w:szCs w:val="24"/>
          <w:shd w:val="clear" w:color="000000" w:fill="FFFFFF"/>
        </w:rPr>
        <w:t>A member of the clergy may possess no more than 2 ounces of wine in a prison, jail, or house of correction if he or she intends to use it in a religious service. A member of the clergy may give or deliver a reasonable amount of wine to an inmate and an inmate may consume that wine as part of a religious service. The department is not required to purchase or store wine for an inmate, a chaplain, or any other member of the clergy who is acting under this subsection.</w:t>
      </w:r>
    </w:p>
    <w:p w14:paraId="3704E92E" w14:textId="77777777" w:rsidR="001B0431" w:rsidRPr="001612E9" w:rsidRDefault="001B0431">
      <w:pPr>
        <w:ind w:right="1440"/>
        <w:rPr>
          <w:rFonts w:ascii="Bookman Old Style" w:hAnsi="Bookman Old Style"/>
          <w:color w:val="000000"/>
          <w:shd w:val="clear" w:color="000000" w:fill="FFFFDD"/>
        </w:rPr>
      </w:pPr>
    </w:p>
    <w:p w14:paraId="52725769" w14:textId="77777777" w:rsidR="001B0431" w:rsidRPr="001612E9" w:rsidRDefault="001B0431">
      <w:pPr>
        <w:ind w:right="1440"/>
        <w:rPr>
          <w:rFonts w:ascii="Bookman Old Style" w:hAnsi="Bookman Old Style" w:cs="Helvetica"/>
          <w:color w:val="548DD4" w:themeColor="text2" w:themeTint="99"/>
          <w:sz w:val="24"/>
          <w:szCs w:val="24"/>
          <w:shd w:val="clear" w:color="000000" w:fill="FFFFFF"/>
        </w:rPr>
      </w:pPr>
    </w:p>
    <w:p w14:paraId="07903ED9" w14:textId="77777777" w:rsidR="001B0431" w:rsidRPr="00531743" w:rsidRDefault="002A7BC7">
      <w:pPr>
        <w:spacing w:line="480" w:lineRule="auto"/>
        <w:ind w:firstLine="1440"/>
        <w:jc w:val="both"/>
        <w:rPr>
          <w:rFonts w:ascii="Bookman Old Style" w:hAnsi="Bookman Old Style"/>
          <w:sz w:val="24"/>
          <w:szCs w:val="24"/>
        </w:rPr>
      </w:pPr>
      <w:r w:rsidRPr="00531743">
        <w:rPr>
          <w:rFonts w:ascii="Bookman Old Style" w:hAnsi="Bookman Old Style"/>
          <w:sz w:val="24"/>
          <w:szCs w:val="24"/>
        </w:rPr>
        <w:t xml:space="preserve">So, if Mr. Schworck were a Catholic in prison for his 10th </w:t>
      </w:r>
      <w:r w:rsidR="00531743" w:rsidRPr="00531743">
        <w:rPr>
          <w:rFonts w:ascii="Bookman Old Style" w:hAnsi="Bookman Old Style"/>
          <w:sz w:val="24"/>
          <w:szCs w:val="24"/>
        </w:rPr>
        <w:t xml:space="preserve">OWI </w:t>
      </w:r>
      <w:r w:rsidRPr="00531743">
        <w:rPr>
          <w:rFonts w:ascii="Bookman Old Style" w:hAnsi="Bookman Old Style"/>
          <w:sz w:val="24"/>
          <w:szCs w:val="24"/>
        </w:rPr>
        <w:t>conviction he would be able to partake in the sacrament of his communion.</w:t>
      </w:r>
      <w:r w:rsidR="009D10A3" w:rsidRPr="00531743">
        <w:rPr>
          <w:rFonts w:ascii="Bookman Old Style" w:hAnsi="Bookman Old Style"/>
          <w:sz w:val="24"/>
          <w:szCs w:val="24"/>
        </w:rPr>
        <w:t xml:space="preserve">  Yet, </w:t>
      </w:r>
      <w:r w:rsidRPr="00531743">
        <w:rPr>
          <w:rFonts w:ascii="Bookman Old Style" w:hAnsi="Bookman Old Style"/>
          <w:sz w:val="24"/>
          <w:szCs w:val="24"/>
        </w:rPr>
        <w:t xml:space="preserve">Mr. Schworck </w:t>
      </w:r>
      <w:r w:rsidR="009D10A3" w:rsidRPr="00531743">
        <w:rPr>
          <w:rFonts w:ascii="Bookman Old Style" w:hAnsi="Bookman Old Style"/>
          <w:sz w:val="24"/>
          <w:szCs w:val="24"/>
        </w:rPr>
        <w:t xml:space="preserve">who “acting according to the dictates of his conscience,” lawfully opened a </w:t>
      </w:r>
      <w:r w:rsidR="00531743" w:rsidRPr="00531743">
        <w:rPr>
          <w:rFonts w:ascii="Bookman Old Style" w:hAnsi="Bookman Old Style"/>
          <w:sz w:val="24"/>
          <w:szCs w:val="24"/>
        </w:rPr>
        <w:t>Church</w:t>
      </w:r>
      <w:r w:rsidR="009D10A3" w:rsidRPr="00531743">
        <w:rPr>
          <w:rFonts w:ascii="Bookman Old Style" w:hAnsi="Bookman Old Style"/>
          <w:sz w:val="24"/>
          <w:szCs w:val="24"/>
        </w:rPr>
        <w:t xml:space="preserve"> and made no effort to conceal his </w:t>
      </w:r>
      <w:r w:rsidR="00531743" w:rsidRPr="00531743">
        <w:rPr>
          <w:rFonts w:ascii="Bookman Old Style" w:hAnsi="Bookman Old Style"/>
          <w:sz w:val="24"/>
          <w:szCs w:val="24"/>
        </w:rPr>
        <w:t xml:space="preserve">Rastafarian </w:t>
      </w:r>
      <w:r w:rsidR="009D10A3" w:rsidRPr="00531743">
        <w:rPr>
          <w:rFonts w:ascii="Bookman Old Style" w:hAnsi="Bookman Old Style"/>
          <w:sz w:val="24"/>
          <w:szCs w:val="24"/>
        </w:rPr>
        <w:t>ministry</w:t>
      </w:r>
      <w:r w:rsidR="00531743">
        <w:rPr>
          <w:rFonts w:ascii="Bookman Old Style" w:hAnsi="Bookman Old Style"/>
          <w:sz w:val="24"/>
          <w:szCs w:val="24"/>
        </w:rPr>
        <w:t>,</w:t>
      </w:r>
      <w:r w:rsidR="00531743" w:rsidRPr="00531743">
        <w:rPr>
          <w:rFonts w:ascii="Bookman Old Style" w:hAnsi="Bookman Old Style"/>
          <w:sz w:val="24"/>
          <w:szCs w:val="24"/>
        </w:rPr>
        <w:t xml:space="preserve"> </w:t>
      </w:r>
      <w:r w:rsidRPr="00531743">
        <w:rPr>
          <w:rFonts w:ascii="Bookman Old Style" w:hAnsi="Bookman Old Style"/>
          <w:sz w:val="24"/>
          <w:szCs w:val="24"/>
        </w:rPr>
        <w:t>is denied the sacrament of his religion</w:t>
      </w:r>
      <w:r w:rsidR="0017063A" w:rsidRPr="00531743">
        <w:rPr>
          <w:rFonts w:ascii="Bookman Old Style" w:hAnsi="Bookman Old Style"/>
          <w:sz w:val="24"/>
          <w:szCs w:val="24"/>
        </w:rPr>
        <w:t xml:space="preserve"> in the City of Madison</w:t>
      </w:r>
      <w:r w:rsidR="00531743">
        <w:rPr>
          <w:rFonts w:ascii="Bookman Old Style" w:hAnsi="Bookman Old Style"/>
          <w:sz w:val="24"/>
          <w:szCs w:val="24"/>
        </w:rPr>
        <w:t>. A city</w:t>
      </w:r>
      <w:r w:rsidR="0017063A" w:rsidRPr="00531743">
        <w:rPr>
          <w:rFonts w:ascii="Bookman Old Style" w:hAnsi="Bookman Old Style"/>
          <w:sz w:val="24"/>
          <w:szCs w:val="24"/>
        </w:rPr>
        <w:t xml:space="preserve"> where </w:t>
      </w:r>
      <w:r w:rsidR="00531743" w:rsidRPr="00531743">
        <w:rPr>
          <w:rFonts w:ascii="Bookman Old Style" w:hAnsi="Bookman Old Style"/>
          <w:sz w:val="24"/>
          <w:szCs w:val="24"/>
        </w:rPr>
        <w:t xml:space="preserve">secular use </w:t>
      </w:r>
      <w:r w:rsidR="0017063A" w:rsidRPr="00531743">
        <w:rPr>
          <w:rFonts w:ascii="Bookman Old Style" w:hAnsi="Bookman Old Style"/>
          <w:sz w:val="24"/>
          <w:szCs w:val="24"/>
        </w:rPr>
        <w:t>is permitted by</w:t>
      </w:r>
      <w:r w:rsidR="00531743" w:rsidRPr="00531743">
        <w:rPr>
          <w:rFonts w:ascii="Bookman Old Style" w:hAnsi="Bookman Old Style"/>
          <w:sz w:val="24"/>
          <w:szCs w:val="24"/>
        </w:rPr>
        <w:t xml:space="preserve"> a lawfully enacted ordi</w:t>
      </w:r>
      <w:r w:rsidR="0017063A" w:rsidRPr="00531743">
        <w:rPr>
          <w:rFonts w:ascii="Bookman Old Style" w:hAnsi="Bookman Old Style"/>
          <w:sz w:val="24"/>
          <w:szCs w:val="24"/>
        </w:rPr>
        <w:t>nance</w:t>
      </w:r>
      <w:r w:rsidRPr="00531743">
        <w:rPr>
          <w:rFonts w:ascii="Bookman Old Style" w:hAnsi="Bookman Old Style"/>
          <w:sz w:val="24"/>
          <w:szCs w:val="24"/>
        </w:rPr>
        <w:t xml:space="preserve">.  </w:t>
      </w:r>
    </w:p>
    <w:p w14:paraId="43C7CD4B" w14:textId="77777777" w:rsidR="001B0431" w:rsidRPr="001612E9" w:rsidRDefault="002A7BC7" w:rsidP="00531743">
      <w:pPr>
        <w:spacing w:line="480" w:lineRule="auto"/>
        <w:ind w:firstLine="1440"/>
        <w:jc w:val="both"/>
        <w:rPr>
          <w:rFonts w:ascii="Bookman Old Style" w:hAnsi="Bookman Old Style"/>
          <w:sz w:val="24"/>
          <w:szCs w:val="24"/>
        </w:rPr>
      </w:pPr>
      <w:r w:rsidRPr="001612E9">
        <w:rPr>
          <w:rFonts w:ascii="Bookman Old Style" w:hAnsi="Bookman Old Style"/>
          <w:sz w:val="24"/>
          <w:szCs w:val="24"/>
        </w:rPr>
        <w:t xml:space="preserve">8. </w:t>
      </w:r>
      <w:r w:rsidRPr="001612E9">
        <w:rPr>
          <w:rFonts w:ascii="Bookman Old Style" w:hAnsi="Bookman Old Style"/>
          <w:sz w:val="24"/>
          <w:szCs w:val="24"/>
        </w:rPr>
        <w:tab/>
        <w:t xml:space="preserve">Mr. Schworck asserts that like the original bond condition prohibiting his entering the church, this special condition </w:t>
      </w:r>
      <w:r w:rsidR="00531743">
        <w:rPr>
          <w:rFonts w:ascii="Bookman Old Style" w:hAnsi="Bookman Old Style"/>
          <w:sz w:val="24"/>
          <w:szCs w:val="24"/>
        </w:rPr>
        <w:t xml:space="preserve">is </w:t>
      </w:r>
      <w:r w:rsidRPr="001612E9">
        <w:rPr>
          <w:rFonts w:ascii="Bookman Old Style" w:hAnsi="Bookman Old Style"/>
          <w:sz w:val="24"/>
          <w:szCs w:val="24"/>
        </w:rPr>
        <w:t>subject to the same statutory test (1) The burden is in furtherance of a compelling governmental interest. (2) The burden is the least restrictive means of furthering that compelling interest. This test is the minimum protection of his inalienable and constitutional rights.</w:t>
      </w:r>
    </w:p>
    <w:p w14:paraId="631B9481" w14:textId="77777777" w:rsidR="001B0431" w:rsidRPr="001612E9" w:rsidRDefault="002A7BC7">
      <w:pPr>
        <w:spacing w:line="480" w:lineRule="auto"/>
        <w:ind w:firstLine="1440"/>
        <w:jc w:val="both"/>
        <w:rPr>
          <w:rFonts w:ascii="Bookman Old Style" w:hAnsi="Bookman Old Style"/>
          <w:sz w:val="24"/>
          <w:szCs w:val="24"/>
        </w:rPr>
      </w:pPr>
      <w:r w:rsidRPr="001612E9">
        <w:rPr>
          <w:rFonts w:ascii="Bookman Old Style" w:hAnsi="Bookman Old Style"/>
          <w:sz w:val="24"/>
          <w:szCs w:val="24"/>
        </w:rPr>
        <w:t>9.</w:t>
      </w:r>
      <w:r w:rsidRPr="001612E9">
        <w:rPr>
          <w:rFonts w:ascii="Bookman Old Style" w:hAnsi="Bookman Old Style"/>
          <w:sz w:val="24"/>
          <w:szCs w:val="24"/>
        </w:rPr>
        <w:tab/>
        <w:t>There is no compelling interest that justifies the burden placed on the constitutionally guaranteed right to Free Exercise under the state and federal Constitutions</w:t>
      </w:r>
      <w:r w:rsidR="00531743">
        <w:rPr>
          <w:rFonts w:ascii="Bookman Old Style" w:hAnsi="Bookman Old Style"/>
          <w:sz w:val="24"/>
          <w:szCs w:val="24"/>
        </w:rPr>
        <w:t xml:space="preserve">, not because of a law of general application, clearly not when secular entities are allowed to </w:t>
      </w:r>
      <w:r w:rsidR="00531743" w:rsidRPr="00531743">
        <w:rPr>
          <w:rFonts w:ascii="Bookman Old Style" w:hAnsi="Bookman Old Style"/>
          <w:color w:val="548DD4" w:themeColor="text2" w:themeTint="99"/>
          <w:sz w:val="24"/>
          <w:szCs w:val="24"/>
        </w:rPr>
        <w:t>undertake the same activities</w:t>
      </w:r>
      <w:r w:rsidRPr="00531743">
        <w:rPr>
          <w:rFonts w:ascii="Bookman Old Style" w:hAnsi="Bookman Old Style"/>
          <w:color w:val="548DD4" w:themeColor="text2" w:themeTint="99"/>
          <w:sz w:val="24"/>
          <w:szCs w:val="24"/>
        </w:rPr>
        <w:t xml:space="preserve">. </w:t>
      </w:r>
    </w:p>
    <w:p w14:paraId="341D0609" w14:textId="77777777" w:rsidR="001B0431" w:rsidRPr="001612E9" w:rsidRDefault="002A7BC7">
      <w:pPr>
        <w:spacing w:line="480" w:lineRule="auto"/>
        <w:ind w:firstLine="1440"/>
        <w:jc w:val="both"/>
        <w:rPr>
          <w:rFonts w:ascii="Bookman Old Style" w:hAnsi="Bookman Old Style"/>
          <w:sz w:val="24"/>
          <w:szCs w:val="24"/>
        </w:rPr>
      </w:pPr>
      <w:r w:rsidRPr="001612E9">
        <w:rPr>
          <w:rFonts w:ascii="Bookman Old Style" w:hAnsi="Bookman Old Style"/>
          <w:sz w:val="24"/>
          <w:szCs w:val="24"/>
        </w:rPr>
        <w:t>10.</w:t>
      </w:r>
      <w:r w:rsidRPr="001612E9">
        <w:rPr>
          <w:rFonts w:ascii="Bookman Old Style" w:hAnsi="Bookman Old Style"/>
          <w:sz w:val="24"/>
          <w:szCs w:val="24"/>
        </w:rPr>
        <w:tab/>
        <w:t>Mr. Schworck submits to this Court that this special condition interferes with the protections afforded by 42 USC 2000bb-1 Free exercise of religion protected which provides in pertinent part:</w:t>
      </w:r>
    </w:p>
    <w:p w14:paraId="587D53B2" w14:textId="77777777" w:rsidR="001B0431" w:rsidRPr="001612E9" w:rsidRDefault="002A7BC7">
      <w:pPr>
        <w:pStyle w:val="Heading4"/>
        <w:spacing w:before="105" w:after="45"/>
        <w:ind w:left="1440" w:right="1440"/>
        <w:rPr>
          <w:rFonts w:ascii="Bookman Old Style" w:hAnsi="Bookman Old Style" w:cs="Arial"/>
          <w:color w:val="000000"/>
          <w:sz w:val="24"/>
          <w:szCs w:val="24"/>
        </w:rPr>
      </w:pPr>
      <w:r w:rsidRPr="001612E9">
        <w:rPr>
          <w:rFonts w:ascii="Bookman Old Style" w:hAnsi="Bookman Old Style" w:cs="Arial"/>
          <w:color w:val="000000"/>
          <w:sz w:val="24"/>
          <w:szCs w:val="24"/>
        </w:rPr>
        <w:t>(a) In general</w:t>
      </w:r>
    </w:p>
    <w:p w14:paraId="5B00B7FE" w14:textId="77777777" w:rsidR="001B0431" w:rsidRPr="001612E9" w:rsidRDefault="002A7BC7">
      <w:pPr>
        <w:pStyle w:val="statutory-body"/>
        <w:spacing w:before="0" w:after="0"/>
        <w:ind w:left="1440" w:right="1440"/>
        <w:rPr>
          <w:rFonts w:ascii="Bookman Old Style" w:hAnsi="Bookman Old Style" w:cs="Arial"/>
          <w:color w:val="000000"/>
        </w:rPr>
      </w:pPr>
      <w:r w:rsidRPr="001612E9">
        <w:rPr>
          <w:rFonts w:ascii="Bookman Old Style" w:hAnsi="Bookman Old Style" w:cs="Arial"/>
          <w:color w:val="000000"/>
        </w:rPr>
        <w:t xml:space="preserve">Government shall not </w:t>
      </w:r>
      <w:proofErr w:type="gramStart"/>
      <w:r w:rsidRPr="001612E9">
        <w:rPr>
          <w:rFonts w:ascii="Bookman Old Style" w:hAnsi="Bookman Old Style" w:cs="Arial"/>
          <w:color w:val="000000"/>
        </w:rPr>
        <w:t>substantially burden</w:t>
      </w:r>
      <w:proofErr w:type="gramEnd"/>
      <w:r w:rsidRPr="001612E9">
        <w:rPr>
          <w:rFonts w:ascii="Bookman Old Style" w:hAnsi="Bookman Old Style" w:cs="Arial"/>
          <w:color w:val="000000"/>
        </w:rPr>
        <w:t xml:space="preserve"> a person's exercise of religion even if the burden results from a rule of general applicability, except as provided in subsection (b).</w:t>
      </w:r>
    </w:p>
    <w:p w14:paraId="459F6D6E" w14:textId="77777777" w:rsidR="001B0431" w:rsidRPr="001612E9" w:rsidRDefault="002A7BC7">
      <w:pPr>
        <w:pStyle w:val="Heading4"/>
        <w:spacing w:before="105" w:after="45"/>
        <w:ind w:left="1440" w:right="1440"/>
        <w:rPr>
          <w:rFonts w:ascii="Bookman Old Style" w:hAnsi="Bookman Old Style" w:cs="Arial"/>
          <w:color w:val="000000"/>
          <w:sz w:val="24"/>
          <w:szCs w:val="24"/>
        </w:rPr>
      </w:pPr>
      <w:bookmarkStart w:id="0" w:name="substructure-location_b"/>
      <w:bookmarkEnd w:id="0"/>
      <w:r w:rsidRPr="001612E9">
        <w:rPr>
          <w:rFonts w:ascii="Bookman Old Style" w:hAnsi="Bookman Old Style" w:cs="Arial"/>
          <w:color w:val="000000"/>
          <w:sz w:val="24"/>
          <w:szCs w:val="24"/>
        </w:rPr>
        <w:t>(b) Exception</w:t>
      </w:r>
    </w:p>
    <w:p w14:paraId="1035ECDB" w14:textId="77777777" w:rsidR="001B0431" w:rsidRPr="001612E9" w:rsidRDefault="002A7BC7">
      <w:pPr>
        <w:pStyle w:val="statutory-body"/>
        <w:spacing w:before="0" w:after="0"/>
        <w:ind w:left="1440" w:right="1440"/>
        <w:rPr>
          <w:rFonts w:ascii="Bookman Old Style" w:hAnsi="Bookman Old Style" w:cs="Arial"/>
          <w:color w:val="000000"/>
        </w:rPr>
      </w:pPr>
      <w:r w:rsidRPr="001612E9">
        <w:rPr>
          <w:rFonts w:ascii="Bookman Old Style" w:hAnsi="Bookman Old Style" w:cs="Arial"/>
          <w:color w:val="000000"/>
        </w:rPr>
        <w:t xml:space="preserve">Government may </w:t>
      </w:r>
      <w:proofErr w:type="gramStart"/>
      <w:r w:rsidRPr="001612E9">
        <w:rPr>
          <w:rFonts w:ascii="Bookman Old Style" w:hAnsi="Bookman Old Style" w:cs="Arial"/>
          <w:color w:val="000000"/>
        </w:rPr>
        <w:t>substantially burden</w:t>
      </w:r>
      <w:proofErr w:type="gramEnd"/>
      <w:r w:rsidRPr="001612E9">
        <w:rPr>
          <w:rFonts w:ascii="Bookman Old Style" w:hAnsi="Bookman Old Style" w:cs="Arial"/>
          <w:color w:val="000000"/>
        </w:rPr>
        <w:t xml:space="preserve"> a person's exercise of religion only if it demonstrates that application of the burden to the person-</w:t>
      </w:r>
    </w:p>
    <w:p w14:paraId="7FCC4381" w14:textId="77777777" w:rsidR="001B0431" w:rsidRPr="001612E9" w:rsidRDefault="002A7BC7">
      <w:pPr>
        <w:pStyle w:val="statutory-body-1em"/>
        <w:spacing w:before="0" w:after="0"/>
        <w:ind w:left="1440" w:right="1440"/>
        <w:rPr>
          <w:rFonts w:ascii="Bookman Old Style" w:hAnsi="Bookman Old Style" w:cs="Arial"/>
          <w:color w:val="000000"/>
        </w:rPr>
      </w:pPr>
      <w:bookmarkStart w:id="1" w:name="substructure-location_b_1"/>
      <w:bookmarkEnd w:id="1"/>
      <w:r w:rsidRPr="001612E9">
        <w:rPr>
          <w:rFonts w:ascii="Bookman Old Style" w:hAnsi="Bookman Old Style" w:cs="Arial"/>
          <w:color w:val="000000"/>
        </w:rPr>
        <w:t>(1) is in furtherance of a compelling governmental interest; and</w:t>
      </w:r>
    </w:p>
    <w:p w14:paraId="5A46A3AC" w14:textId="77777777" w:rsidR="001B0431" w:rsidRPr="001612E9" w:rsidRDefault="002A7BC7">
      <w:pPr>
        <w:pStyle w:val="statutory-body-1em"/>
        <w:spacing w:before="0" w:after="0"/>
        <w:ind w:left="1440" w:right="1440"/>
        <w:rPr>
          <w:rFonts w:ascii="Bookman Old Style" w:hAnsi="Bookman Old Style" w:cs="Arial"/>
          <w:color w:val="000000"/>
        </w:rPr>
      </w:pPr>
      <w:bookmarkStart w:id="2" w:name="substructure-location_b_2"/>
      <w:bookmarkEnd w:id="2"/>
      <w:r w:rsidRPr="001612E9">
        <w:rPr>
          <w:rFonts w:ascii="Bookman Old Style" w:hAnsi="Bookman Old Style" w:cs="Arial"/>
          <w:color w:val="000000"/>
        </w:rPr>
        <w:t>(2) is the least restrictive means of furthering that compelling governmental interest.</w:t>
      </w:r>
    </w:p>
    <w:p w14:paraId="6301E868" w14:textId="77777777" w:rsidR="001B0431" w:rsidRPr="001612E9" w:rsidRDefault="002A7BC7">
      <w:pPr>
        <w:pStyle w:val="Heading4"/>
        <w:spacing w:before="105" w:after="45"/>
        <w:ind w:left="1440" w:right="1440"/>
        <w:rPr>
          <w:rFonts w:ascii="Bookman Old Style" w:hAnsi="Bookman Old Style" w:cs="Arial"/>
          <w:color w:val="000000"/>
          <w:sz w:val="24"/>
          <w:szCs w:val="24"/>
        </w:rPr>
      </w:pPr>
      <w:bookmarkStart w:id="3" w:name="substructure-location_c"/>
      <w:bookmarkEnd w:id="3"/>
      <w:r w:rsidRPr="001612E9">
        <w:rPr>
          <w:rFonts w:ascii="Bookman Old Style" w:hAnsi="Bookman Old Style" w:cs="Arial"/>
          <w:color w:val="000000"/>
          <w:sz w:val="24"/>
          <w:szCs w:val="24"/>
        </w:rPr>
        <w:t>(c) Judicial relief</w:t>
      </w:r>
    </w:p>
    <w:p w14:paraId="5B3DBF56" w14:textId="77777777" w:rsidR="001B0431" w:rsidRPr="001612E9" w:rsidRDefault="002A7BC7" w:rsidP="00531743">
      <w:pPr>
        <w:pStyle w:val="statutory-body"/>
        <w:spacing w:before="0" w:after="0"/>
        <w:ind w:left="1440" w:right="1440"/>
        <w:rPr>
          <w:rFonts w:ascii="Bookman Old Style" w:hAnsi="Bookman Old Style" w:cs="Arial"/>
          <w:color w:val="000000"/>
        </w:rPr>
      </w:pPr>
      <w:r w:rsidRPr="001612E9">
        <w:rPr>
          <w:rFonts w:ascii="Bookman Old Style" w:hAnsi="Bookman Old Style" w:cs="Arial"/>
          <w:color w:val="000000"/>
        </w:rPr>
        <w:t>A person whose religious exercise has been burdened in violation of this section may assert that violation as a claim or defense in a judicial proceeding and obtain appropriate relief against a government. Standing to assert a claim or defense under this section shall be governed by the general rules of standing under article III of the Constitution.</w:t>
      </w:r>
      <w:r w:rsidRPr="001612E9">
        <w:rPr>
          <w:rFonts w:ascii="Bookman Old Style" w:hAnsi="Bookman Old Style" w:cs="Arial"/>
          <w:color w:val="000000"/>
        </w:rPr>
        <w:br/>
      </w:r>
    </w:p>
    <w:p w14:paraId="6AE2331C" w14:textId="77777777" w:rsidR="0017063A" w:rsidRPr="001612E9" w:rsidRDefault="0017063A" w:rsidP="0017063A">
      <w:pPr>
        <w:spacing w:line="480" w:lineRule="auto"/>
        <w:ind w:firstLine="1440"/>
        <w:jc w:val="both"/>
        <w:rPr>
          <w:rFonts w:ascii="Bookman Old Style" w:hAnsi="Bookman Old Style"/>
          <w:sz w:val="24"/>
          <w:szCs w:val="24"/>
        </w:rPr>
      </w:pPr>
      <w:r w:rsidRPr="001612E9">
        <w:rPr>
          <w:rFonts w:ascii="Bookman Old Style" w:hAnsi="Bookman Old Style"/>
          <w:sz w:val="24"/>
          <w:szCs w:val="24"/>
        </w:rPr>
        <w:t xml:space="preserve">7. </w:t>
      </w:r>
      <w:r w:rsidRPr="001612E9">
        <w:rPr>
          <w:rFonts w:ascii="Bookman Old Style" w:hAnsi="Bookman Old Style"/>
          <w:sz w:val="24"/>
          <w:szCs w:val="24"/>
        </w:rPr>
        <w:tab/>
        <w:t>Mr. Schworck MOVES this Court to remove the special condition of his bond.</w:t>
      </w:r>
    </w:p>
    <w:p w14:paraId="02CFB675" w14:textId="77777777" w:rsidR="002C09ED" w:rsidRPr="001612E9" w:rsidRDefault="002C09ED" w:rsidP="002C09ED">
      <w:pPr>
        <w:spacing w:line="480" w:lineRule="auto"/>
        <w:jc w:val="center"/>
        <w:rPr>
          <w:rFonts w:ascii="Bookman Old Style" w:hAnsi="Bookman Old Style"/>
          <w:sz w:val="24"/>
          <w:szCs w:val="24"/>
        </w:rPr>
      </w:pPr>
      <w:r>
        <w:rPr>
          <w:rFonts w:ascii="Bookman Old Style" w:hAnsi="Bookman Old Style"/>
          <w:b/>
          <w:sz w:val="24"/>
          <w:szCs w:val="24"/>
        </w:rPr>
        <w:t>CONCLUSION</w:t>
      </w:r>
    </w:p>
    <w:p w14:paraId="75974E96" w14:textId="77777777" w:rsidR="005E4431" w:rsidRPr="005B1A56" w:rsidRDefault="002C09ED">
      <w:pPr>
        <w:spacing w:line="480" w:lineRule="auto"/>
        <w:ind w:firstLine="1440"/>
        <w:jc w:val="both"/>
        <w:rPr>
          <w:rFonts w:ascii="Bookman Old Style" w:hAnsi="Bookman Old Style"/>
          <w:sz w:val="24"/>
          <w:szCs w:val="24"/>
        </w:rPr>
      </w:pPr>
      <w:r w:rsidRPr="005B1A56">
        <w:rPr>
          <w:rFonts w:ascii="Bookman Old Style" w:hAnsi="Bookman Old Style"/>
          <w:sz w:val="24"/>
          <w:szCs w:val="24"/>
        </w:rPr>
        <w:t xml:space="preserve">This Court must apply Strict Scrutiny for the following reasons.  Secular use and possession </w:t>
      </w:r>
      <w:r w:rsidR="005E4431" w:rsidRPr="005B1A56">
        <w:rPr>
          <w:rFonts w:ascii="Bookman Old Style" w:hAnsi="Bookman Old Style"/>
          <w:sz w:val="24"/>
          <w:szCs w:val="24"/>
        </w:rPr>
        <w:t xml:space="preserve">of cannabis is permitted by a lawfully enacted ordinance but prohibited for Mr. </w:t>
      </w:r>
      <w:proofErr w:type="spellStart"/>
      <w:r w:rsidR="005E4431" w:rsidRPr="005B1A56">
        <w:rPr>
          <w:rFonts w:ascii="Bookman Old Style" w:hAnsi="Bookman Old Style"/>
          <w:sz w:val="24"/>
          <w:szCs w:val="24"/>
        </w:rPr>
        <w:t>Schworck’s</w:t>
      </w:r>
      <w:proofErr w:type="spellEnd"/>
      <w:r w:rsidR="005E4431" w:rsidRPr="005B1A56">
        <w:rPr>
          <w:rFonts w:ascii="Bookman Old Style" w:hAnsi="Bookman Old Style"/>
          <w:sz w:val="24"/>
          <w:szCs w:val="24"/>
        </w:rPr>
        <w:t xml:space="preserve"> religious use.  The exemptions under state and federal law undermine the assertion that the prohibition is </w:t>
      </w:r>
      <w:proofErr w:type="gramStart"/>
      <w:r w:rsidR="005E4431" w:rsidRPr="005B1A56">
        <w:rPr>
          <w:rFonts w:ascii="Bookman Old Style" w:hAnsi="Bookman Old Style"/>
          <w:sz w:val="24"/>
          <w:szCs w:val="24"/>
        </w:rPr>
        <w:t>generally applicable</w:t>
      </w:r>
      <w:proofErr w:type="gramEnd"/>
      <w:r w:rsidR="005E4431" w:rsidRPr="005B1A56">
        <w:rPr>
          <w:rFonts w:ascii="Bookman Old Style" w:hAnsi="Bookman Old Style"/>
          <w:sz w:val="24"/>
          <w:szCs w:val="24"/>
        </w:rPr>
        <w:t>.  The state and federal governments have made discriminatory exemptions for other religions</w:t>
      </w:r>
      <w:r w:rsidR="00342A07" w:rsidRPr="005B1A56">
        <w:rPr>
          <w:rFonts w:ascii="Bookman Old Style" w:hAnsi="Bookman Old Style"/>
          <w:sz w:val="24"/>
          <w:szCs w:val="24"/>
        </w:rPr>
        <w:t xml:space="preserve">. </w:t>
      </w:r>
    </w:p>
    <w:p w14:paraId="48AED784" w14:textId="77777777" w:rsidR="00475B73" w:rsidRPr="005B1A56" w:rsidRDefault="00342A07" w:rsidP="005B1A56">
      <w:pPr>
        <w:spacing w:line="480" w:lineRule="auto"/>
        <w:jc w:val="both"/>
        <w:rPr>
          <w:rFonts w:ascii="Bookman Old Style" w:hAnsi="Bookman Old Style" w:cs="Arial"/>
          <w:color w:val="000000"/>
          <w:sz w:val="24"/>
          <w:szCs w:val="24"/>
        </w:rPr>
      </w:pPr>
      <w:r w:rsidRPr="005B1A56">
        <w:rPr>
          <w:rFonts w:ascii="Bookman Old Style" w:hAnsi="Bookman Old Style"/>
          <w:sz w:val="24"/>
          <w:szCs w:val="24"/>
        </w:rPr>
        <w:tab/>
      </w:r>
      <w:r w:rsidRPr="005B1A56">
        <w:rPr>
          <w:rFonts w:ascii="Bookman Old Style" w:hAnsi="Bookman Old Style"/>
          <w:sz w:val="24"/>
          <w:szCs w:val="24"/>
        </w:rPr>
        <w:tab/>
        <w:t>Strict Scrutiny requires this Court to w</w:t>
      </w:r>
      <w:r w:rsidRPr="005B1A56">
        <w:rPr>
          <w:rFonts w:ascii="Bookman Old Style" w:hAnsi="Bookman Old Style"/>
          <w:sz w:val="24"/>
          <w:szCs w:val="24"/>
        </w:rPr>
        <w:t xml:space="preserve">eigh whether </w:t>
      </w:r>
      <w:r w:rsidR="00475B73" w:rsidRPr="005B1A56">
        <w:rPr>
          <w:rFonts w:ascii="Bookman Old Style" w:hAnsi="Bookman Old Style"/>
          <w:sz w:val="24"/>
          <w:szCs w:val="24"/>
        </w:rPr>
        <w:t xml:space="preserve">the State’s can meet its burden (1) to show it is acting in furtherance of a compelling governmental interest </w:t>
      </w:r>
      <w:r w:rsidRPr="005B1A56">
        <w:rPr>
          <w:rFonts w:ascii="Bookman Old Style" w:hAnsi="Bookman Old Style"/>
          <w:sz w:val="24"/>
          <w:szCs w:val="24"/>
        </w:rPr>
        <w:t xml:space="preserve">that would justify </w:t>
      </w:r>
      <w:r w:rsidRPr="005B1A56">
        <w:rPr>
          <w:rFonts w:ascii="Bookman Old Style" w:hAnsi="Bookman Old Style"/>
          <w:b/>
          <w:bCs/>
          <w:i/>
          <w:iCs/>
          <w:sz w:val="24"/>
          <w:szCs w:val="24"/>
          <w:u w:val="single"/>
        </w:rPr>
        <w:t>denying</w:t>
      </w:r>
      <w:r w:rsidRPr="005B1A56">
        <w:rPr>
          <w:rFonts w:ascii="Bookman Old Style" w:hAnsi="Bookman Old Style"/>
          <w:sz w:val="24"/>
          <w:szCs w:val="24"/>
        </w:rPr>
        <w:t xml:space="preserve"> </w:t>
      </w:r>
      <w:r w:rsidR="00475B73" w:rsidRPr="005B1A56">
        <w:rPr>
          <w:rFonts w:ascii="Bookman Old Style" w:hAnsi="Bookman Old Style"/>
          <w:sz w:val="24"/>
          <w:szCs w:val="24"/>
        </w:rPr>
        <w:t xml:space="preserve">a religious use </w:t>
      </w:r>
      <w:r w:rsidRPr="005B1A56">
        <w:rPr>
          <w:rFonts w:ascii="Bookman Old Style" w:hAnsi="Bookman Old Style"/>
          <w:sz w:val="24"/>
          <w:szCs w:val="24"/>
        </w:rPr>
        <w:t>exception to the law.</w:t>
      </w:r>
      <w:r w:rsidR="00475B73" w:rsidRPr="005B1A56">
        <w:rPr>
          <w:rFonts w:ascii="Bookman Old Style" w:hAnsi="Bookman Old Style"/>
          <w:sz w:val="24"/>
          <w:szCs w:val="24"/>
        </w:rPr>
        <w:t xml:space="preserve"> (2) that it is using </w:t>
      </w:r>
      <w:r w:rsidR="00475B73" w:rsidRPr="005B1A56">
        <w:rPr>
          <w:rFonts w:ascii="Bookman Old Style" w:hAnsi="Bookman Old Style" w:cs="Arial"/>
          <w:color w:val="000000"/>
          <w:sz w:val="24"/>
          <w:szCs w:val="24"/>
        </w:rPr>
        <w:t>the least restrictive means of furthering that compelling governmental interest.</w:t>
      </w:r>
    </w:p>
    <w:p w14:paraId="768EB9A4" w14:textId="77777777" w:rsidR="001B0431" w:rsidRPr="0017063A" w:rsidRDefault="00201343" w:rsidP="0017063A">
      <w:pPr>
        <w:spacing w:line="480" w:lineRule="auto"/>
        <w:jc w:val="center"/>
        <w:rPr>
          <w:rFonts w:ascii="Bookman Old Style" w:hAnsi="Bookman Old Style"/>
          <w:b/>
          <w:bCs/>
          <w:sz w:val="24"/>
          <w:szCs w:val="24"/>
        </w:rPr>
      </w:pPr>
      <w:r w:rsidRPr="0017063A">
        <w:rPr>
          <w:rFonts w:ascii="Bookman Old Style" w:hAnsi="Bookman Old Style"/>
          <w:b/>
          <w:bCs/>
          <w:sz w:val="24"/>
          <w:szCs w:val="24"/>
        </w:rPr>
        <w:t>R</w:t>
      </w:r>
      <w:r w:rsidR="00CA2A46" w:rsidRPr="0017063A">
        <w:rPr>
          <w:rFonts w:ascii="Bookman Old Style" w:hAnsi="Bookman Old Style"/>
          <w:b/>
          <w:bCs/>
          <w:sz w:val="24"/>
          <w:szCs w:val="24"/>
        </w:rPr>
        <w:t>EQ</w:t>
      </w:r>
      <w:r w:rsidRPr="0017063A">
        <w:rPr>
          <w:rFonts w:ascii="Bookman Old Style" w:hAnsi="Bookman Old Style"/>
          <w:b/>
          <w:bCs/>
          <w:sz w:val="24"/>
          <w:szCs w:val="24"/>
        </w:rPr>
        <w:t>UESTED</w:t>
      </w:r>
      <w:r w:rsidR="002A7BC7" w:rsidRPr="0017063A">
        <w:rPr>
          <w:rFonts w:ascii="Bookman Old Style" w:hAnsi="Bookman Old Style"/>
          <w:b/>
          <w:bCs/>
          <w:sz w:val="24"/>
          <w:szCs w:val="24"/>
        </w:rPr>
        <w:t xml:space="preserve"> RELIEF</w:t>
      </w:r>
    </w:p>
    <w:p w14:paraId="5C74CED9" w14:textId="77777777" w:rsidR="001B0431" w:rsidRPr="001612E9" w:rsidRDefault="002A7BC7">
      <w:pPr>
        <w:tabs>
          <w:tab w:val="left" w:pos="-720"/>
        </w:tabs>
        <w:spacing w:line="480" w:lineRule="auto"/>
        <w:jc w:val="both"/>
        <w:rPr>
          <w:rFonts w:ascii="Bookman Old Style" w:hAnsi="Bookman Old Style"/>
          <w:spacing w:val="-3"/>
          <w:sz w:val="24"/>
          <w:szCs w:val="24"/>
        </w:rPr>
      </w:pPr>
      <w:r w:rsidRPr="001612E9">
        <w:rPr>
          <w:rFonts w:ascii="Bookman Old Style" w:hAnsi="Bookman Old Style"/>
          <w:spacing w:val="-3"/>
          <w:sz w:val="24"/>
          <w:szCs w:val="24"/>
        </w:rPr>
        <w:tab/>
      </w:r>
      <w:r w:rsidRPr="001612E9">
        <w:rPr>
          <w:rFonts w:ascii="Bookman Old Style" w:hAnsi="Bookman Old Style"/>
          <w:spacing w:val="-3"/>
          <w:sz w:val="24"/>
          <w:szCs w:val="24"/>
        </w:rPr>
        <w:tab/>
        <w:t>Mr. Schworck requests that his bail conditions be amended to remove the special condition, leaving only the standard conditions.</w:t>
      </w:r>
    </w:p>
    <w:p w14:paraId="083047DB" w14:textId="77777777" w:rsidR="001B0431" w:rsidRPr="001612E9" w:rsidRDefault="002A7BC7">
      <w:pPr>
        <w:ind w:left="2880"/>
        <w:rPr>
          <w:rFonts w:ascii="Bookman Old Style" w:hAnsi="Bookman Old Style"/>
          <w:sz w:val="24"/>
          <w:szCs w:val="24"/>
        </w:rPr>
      </w:pPr>
      <w:r w:rsidRPr="001612E9">
        <w:rPr>
          <w:rFonts w:ascii="Bookman Old Style" w:hAnsi="Bookman Old Style"/>
          <w:noProof/>
          <w:sz w:val="24"/>
        </w:rPr>
        <w:drawing>
          <wp:anchor distT="0" distB="0" distL="114300" distR="114300" simplePos="0" relativeHeight="251624959" behindDoc="1" locked="0" layoutInCell="1" allowOverlap="1">
            <wp:simplePos x="0" y="0"/>
            <wp:positionH relativeFrom="column">
              <wp:posOffset>2252350</wp:posOffset>
            </wp:positionH>
            <wp:positionV relativeFrom="paragraph">
              <wp:posOffset>114304</wp:posOffset>
            </wp:positionV>
            <wp:extent cx="2490470" cy="986155"/>
            <wp:effectExtent l="0" t="0" r="0" b="0"/>
            <wp:wrapNone/>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torage/emulated/0/.polaris_temp/image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491105" cy="986790"/>
                    </a:xfrm>
                    <a:prstGeom prst="rect">
                      <a:avLst/>
                    </a:prstGeom>
                    <a:solidFill>
                      <a:prstClr val="white"/>
                    </a:solidFill>
                    <a:ln cap="flat"/>
                  </pic:spPr>
                </pic:pic>
              </a:graphicData>
            </a:graphic>
          </wp:anchor>
        </w:drawing>
      </w:r>
      <w:r w:rsidRPr="001612E9">
        <w:rPr>
          <w:rFonts w:ascii="Bookman Old Style" w:hAnsi="Bookman Old Style"/>
          <w:sz w:val="24"/>
          <w:szCs w:val="24"/>
        </w:rPr>
        <w:t xml:space="preserve">Submitted this </w:t>
      </w:r>
      <w:r w:rsidRPr="001612E9">
        <w:rPr>
          <w:rFonts w:ascii="Bookman Old Style" w:hAnsi="Bookman Old Style"/>
          <w:sz w:val="24"/>
          <w:szCs w:val="24"/>
        </w:rPr>
        <w:fldChar w:fldCharType="begin"/>
      </w:r>
      <w:r w:rsidRPr="001612E9">
        <w:rPr>
          <w:rFonts w:ascii="Bookman Old Style" w:hAnsi="Bookman Old Style"/>
        </w:rPr>
        <w:instrText>TIME \@ "d"</w:instrText>
      </w:r>
      <w:r w:rsidRPr="001612E9">
        <w:rPr>
          <w:rFonts w:ascii="Bookman Old Style" w:hAnsi="Bookman Old Style"/>
        </w:rPr>
        <w:fldChar w:fldCharType="separate"/>
      </w:r>
      <w:r w:rsidR="005C3158" w:rsidRPr="001612E9">
        <w:rPr>
          <w:rFonts w:ascii="Bookman Old Style" w:hAnsi="Bookman Old Style"/>
          <w:noProof/>
        </w:rPr>
        <w:t>30</w:t>
      </w:r>
      <w:r w:rsidRPr="001612E9">
        <w:rPr>
          <w:rFonts w:ascii="Bookman Old Style" w:hAnsi="Bookman Old Style"/>
          <w:sz w:val="24"/>
          <w:szCs w:val="24"/>
        </w:rPr>
        <w:fldChar w:fldCharType="end"/>
      </w:r>
      <w:r w:rsidRPr="001612E9">
        <w:rPr>
          <w:rFonts w:ascii="Bookman Old Style" w:hAnsi="Bookman Old Style"/>
          <w:sz w:val="24"/>
          <w:szCs w:val="24"/>
        </w:rPr>
        <w:t xml:space="preserve"> day of </w:t>
      </w:r>
      <w:r w:rsidRPr="001612E9">
        <w:rPr>
          <w:rFonts w:ascii="Bookman Old Style" w:hAnsi="Bookman Old Style"/>
          <w:sz w:val="24"/>
          <w:szCs w:val="24"/>
        </w:rPr>
        <w:fldChar w:fldCharType="begin"/>
      </w:r>
      <w:r w:rsidRPr="001612E9">
        <w:rPr>
          <w:rFonts w:ascii="Bookman Old Style" w:hAnsi="Bookman Old Style"/>
        </w:rPr>
        <w:instrText>TIME \@ "MMMM, yyyy "</w:instrText>
      </w:r>
      <w:r w:rsidRPr="001612E9">
        <w:rPr>
          <w:rFonts w:ascii="Bookman Old Style" w:hAnsi="Bookman Old Style"/>
        </w:rPr>
        <w:fldChar w:fldCharType="separate"/>
      </w:r>
      <w:r w:rsidR="005C3158" w:rsidRPr="001612E9">
        <w:rPr>
          <w:rFonts w:ascii="Bookman Old Style" w:hAnsi="Bookman Old Style"/>
          <w:noProof/>
        </w:rPr>
        <w:t xml:space="preserve">June, 2021 </w:t>
      </w:r>
      <w:r w:rsidRPr="001612E9">
        <w:rPr>
          <w:rFonts w:ascii="Bookman Old Style" w:hAnsi="Bookman Old Style"/>
          <w:sz w:val="24"/>
          <w:szCs w:val="24"/>
        </w:rPr>
        <w:fldChar w:fldCharType="end"/>
      </w:r>
      <w:r w:rsidRPr="001612E9">
        <w:rPr>
          <w:rFonts w:ascii="Bookman Old Style" w:hAnsi="Bookman Old Style"/>
          <w:sz w:val="24"/>
          <w:szCs w:val="24"/>
        </w:rPr>
        <w:t>.</w:t>
      </w:r>
    </w:p>
    <w:tbl>
      <w:tblPr>
        <w:tblW w:w="9468" w:type="dxa"/>
        <w:tblLayout w:type="fixed"/>
        <w:tblCellMar>
          <w:left w:w="10" w:type="dxa"/>
          <w:right w:w="10" w:type="dxa"/>
        </w:tblCellMar>
        <w:tblLook w:val="04A0" w:firstRow="1" w:lastRow="0" w:firstColumn="1" w:lastColumn="0" w:noHBand="0" w:noVBand="1"/>
      </w:tblPr>
      <w:tblGrid>
        <w:gridCol w:w="2988"/>
        <w:gridCol w:w="6480"/>
      </w:tblGrid>
      <w:tr w:rsidR="001B0431" w:rsidRPr="001612E9" w14:paraId="6137E195" w14:textId="77777777">
        <w:tc>
          <w:tcPr>
            <w:tcW w:w="2988" w:type="dxa"/>
            <w:tcMar>
              <w:left w:w="108" w:type="dxa"/>
              <w:right w:w="108" w:type="dxa"/>
            </w:tcMar>
          </w:tcPr>
          <w:p w14:paraId="3F415B0D" w14:textId="77777777" w:rsidR="001B0431" w:rsidRPr="001612E9" w:rsidRDefault="001B0431">
            <w:pPr>
              <w:rPr>
                <w:rFonts w:ascii="Bookman Old Style" w:hAnsi="Bookman Old Style"/>
                <w:sz w:val="24"/>
                <w:szCs w:val="24"/>
              </w:rPr>
            </w:pPr>
          </w:p>
        </w:tc>
        <w:tc>
          <w:tcPr>
            <w:tcW w:w="6480" w:type="dxa"/>
            <w:tcMar>
              <w:left w:w="108" w:type="dxa"/>
              <w:right w:w="108" w:type="dxa"/>
            </w:tcMar>
          </w:tcPr>
          <w:p w14:paraId="494EC7EE" w14:textId="77777777" w:rsidR="001B0431" w:rsidRPr="001612E9" w:rsidRDefault="001B0431">
            <w:pPr>
              <w:autoSpaceDN w:val="0"/>
              <w:spacing w:after="120"/>
              <w:rPr>
                <w:rFonts w:ascii="Bookman Old Style" w:hAnsi="Bookman Old Style"/>
                <w:sz w:val="24"/>
                <w:szCs w:val="24"/>
              </w:rPr>
            </w:pPr>
          </w:p>
          <w:p w14:paraId="6E58D6DD" w14:textId="77777777" w:rsidR="001B0431" w:rsidRPr="001612E9" w:rsidRDefault="002A7BC7">
            <w:pPr>
              <w:autoSpaceDN w:val="0"/>
              <w:spacing w:after="120"/>
              <w:rPr>
                <w:rFonts w:ascii="Bookman Old Style" w:hAnsi="Bookman Old Style"/>
                <w:sz w:val="24"/>
                <w:szCs w:val="24"/>
              </w:rPr>
            </w:pPr>
            <w:r w:rsidRPr="001612E9">
              <w:rPr>
                <w:rFonts w:ascii="Bookman Old Style" w:hAnsi="Bookman Old Style"/>
                <w:sz w:val="24"/>
                <w:szCs w:val="24"/>
              </w:rPr>
              <w:t xml:space="preserve">___________________________________ </w:t>
            </w:r>
            <w:r w:rsidRPr="001612E9">
              <w:rPr>
                <w:rFonts w:ascii="Bookman Old Style" w:hAnsi="Bookman Old Style"/>
                <w:sz w:val="24"/>
                <w:szCs w:val="24"/>
              </w:rPr>
              <w:br/>
              <w:t>Anthony C. Delyea, State Bar No. 1036436</w:t>
            </w:r>
            <w:r w:rsidRPr="001612E9">
              <w:rPr>
                <w:rFonts w:ascii="Bookman Old Style" w:hAnsi="Bookman Old Style"/>
                <w:sz w:val="24"/>
                <w:szCs w:val="24"/>
              </w:rPr>
              <w:br/>
            </w:r>
            <w:r w:rsidRPr="001612E9">
              <w:rPr>
                <w:rFonts w:ascii="Bookman Old Style" w:hAnsi="Bookman Old Style"/>
                <w:smallCaps/>
                <w:sz w:val="24"/>
                <w:szCs w:val="24"/>
                <w:lang w:eastAsia="ar-SA"/>
              </w:rPr>
              <w:t>Delyea Law Office</w:t>
            </w:r>
            <w:r w:rsidRPr="001612E9">
              <w:rPr>
                <w:rFonts w:ascii="Bookman Old Style" w:hAnsi="Bookman Old Style"/>
                <w:smallCaps/>
                <w:sz w:val="24"/>
                <w:szCs w:val="24"/>
                <w:lang w:eastAsia="ar-SA"/>
              </w:rPr>
              <w:br/>
            </w:r>
            <w:r w:rsidRPr="001612E9">
              <w:rPr>
                <w:rFonts w:ascii="Bookman Old Style" w:hAnsi="Bookman Old Style"/>
                <w:sz w:val="24"/>
                <w:szCs w:val="24"/>
                <w:lang w:eastAsia="ar-SA"/>
              </w:rPr>
              <w:t>Attorney for Jesse R. Schworck</w:t>
            </w:r>
          </w:p>
        </w:tc>
      </w:tr>
    </w:tbl>
    <w:p w14:paraId="37D5F05D" w14:textId="77777777" w:rsidR="001B0431" w:rsidRPr="001612E9" w:rsidRDefault="002A7BC7">
      <w:pPr>
        <w:autoSpaceDN w:val="0"/>
        <w:rPr>
          <w:rFonts w:ascii="Bookman Old Style" w:hAnsi="Bookman Old Style"/>
          <w:sz w:val="24"/>
          <w:szCs w:val="24"/>
          <w:lang w:eastAsia="ar-SA"/>
        </w:rPr>
      </w:pPr>
      <w:r w:rsidRPr="001612E9">
        <w:rPr>
          <w:rFonts w:ascii="Bookman Old Style" w:hAnsi="Bookman Old Style"/>
          <w:sz w:val="24"/>
          <w:szCs w:val="24"/>
          <w:lang w:eastAsia="ar-SA"/>
        </w:rPr>
        <w:t>4560 Kennedy Road</w:t>
      </w:r>
      <w:r w:rsidRPr="001612E9">
        <w:rPr>
          <w:rFonts w:ascii="Bookman Old Style" w:hAnsi="Bookman Old Style"/>
          <w:sz w:val="24"/>
          <w:szCs w:val="24"/>
          <w:lang w:eastAsia="ar-SA"/>
        </w:rPr>
        <w:br/>
        <w:t>Cottage Grove, WI 53527</w:t>
      </w:r>
    </w:p>
    <w:p w14:paraId="2572F475" w14:textId="77777777" w:rsidR="001B0431" w:rsidRPr="001612E9" w:rsidRDefault="002A7BC7">
      <w:pPr>
        <w:autoSpaceDN w:val="0"/>
        <w:rPr>
          <w:rFonts w:ascii="Bookman Old Style" w:hAnsi="Bookman Old Style"/>
          <w:sz w:val="24"/>
          <w:szCs w:val="24"/>
          <w:lang w:eastAsia="ar-SA"/>
        </w:rPr>
      </w:pPr>
      <w:r w:rsidRPr="001612E9">
        <w:rPr>
          <w:rFonts w:ascii="Bookman Old Style" w:hAnsi="Bookman Old Style"/>
          <w:sz w:val="24"/>
          <w:szCs w:val="24"/>
          <w:lang w:eastAsia="ar-SA"/>
        </w:rPr>
        <w:t>Office (608) 251-2324</w:t>
      </w:r>
    </w:p>
    <w:p w14:paraId="4618E9B8" w14:textId="77777777" w:rsidR="001B0431" w:rsidRPr="001612E9" w:rsidRDefault="002A7BC7">
      <w:pPr>
        <w:autoSpaceDN w:val="0"/>
        <w:rPr>
          <w:rFonts w:ascii="Bookman Old Style" w:hAnsi="Bookman Old Style"/>
          <w:sz w:val="24"/>
          <w:szCs w:val="24"/>
          <w:lang w:eastAsia="ar-SA"/>
        </w:rPr>
      </w:pPr>
      <w:r w:rsidRPr="001612E9">
        <w:rPr>
          <w:rFonts w:ascii="Bookman Old Style" w:hAnsi="Bookman Old Style"/>
          <w:sz w:val="24"/>
          <w:szCs w:val="24"/>
          <w:lang w:eastAsia="ar-SA"/>
        </w:rPr>
        <w:t>Fax (608) 251-2384</w:t>
      </w:r>
    </w:p>
    <w:p w14:paraId="44CB210B" w14:textId="77777777" w:rsidR="001B0431" w:rsidRPr="001612E9" w:rsidRDefault="002A7BC7">
      <w:pPr>
        <w:autoSpaceDN w:val="0"/>
        <w:rPr>
          <w:rFonts w:ascii="Bookman Old Style" w:hAnsi="Bookman Old Style"/>
          <w:sz w:val="24"/>
          <w:szCs w:val="24"/>
        </w:rPr>
      </w:pPr>
      <w:r w:rsidRPr="001612E9">
        <w:rPr>
          <w:rFonts w:ascii="Bookman Old Style" w:hAnsi="Bookman Old Style"/>
          <w:sz w:val="24"/>
          <w:szCs w:val="24"/>
          <w:lang w:eastAsia="ar-SA"/>
        </w:rPr>
        <w:t>Anthony@Delyea.com</w:t>
      </w:r>
    </w:p>
    <w:p w14:paraId="3FBF7DBC" w14:textId="77777777" w:rsidR="001B0431" w:rsidRPr="001612E9" w:rsidRDefault="001B0431">
      <w:pPr>
        <w:autoSpaceDE w:val="0"/>
        <w:autoSpaceDN w:val="0"/>
        <w:spacing w:line="480" w:lineRule="auto"/>
        <w:ind w:firstLine="720"/>
        <w:jc w:val="both"/>
        <w:rPr>
          <w:rFonts w:ascii="Bookman Old Style" w:hAnsi="Bookman Old Style"/>
          <w:sz w:val="24"/>
          <w:szCs w:val="24"/>
        </w:rPr>
      </w:pPr>
    </w:p>
    <w:p w14:paraId="30476DDD" w14:textId="77777777" w:rsidR="001B0431" w:rsidRPr="001612E9" w:rsidRDefault="001B0431">
      <w:pPr>
        <w:tabs>
          <w:tab w:val="left" w:pos="-720"/>
        </w:tabs>
        <w:spacing w:line="480" w:lineRule="auto"/>
        <w:ind w:firstLine="720"/>
        <w:jc w:val="both"/>
        <w:rPr>
          <w:rFonts w:ascii="Bookman Old Style" w:hAnsi="Bookman Old Style"/>
          <w:sz w:val="24"/>
          <w:szCs w:val="24"/>
        </w:rPr>
      </w:pPr>
    </w:p>
    <w:p w14:paraId="3F4E8596" w14:textId="77777777" w:rsidR="001B0431" w:rsidRPr="001612E9" w:rsidRDefault="001B0431">
      <w:pPr>
        <w:ind w:left="720" w:hanging="720"/>
        <w:rPr>
          <w:rFonts w:ascii="Bookman Old Style" w:hAnsi="Bookman Old Style"/>
          <w:sz w:val="24"/>
          <w:szCs w:val="24"/>
        </w:rPr>
      </w:pPr>
    </w:p>
    <w:p w14:paraId="42679E37" w14:textId="77777777" w:rsidR="001B0431" w:rsidRPr="001612E9" w:rsidRDefault="001B0431">
      <w:pPr>
        <w:ind w:left="720" w:hanging="720"/>
        <w:rPr>
          <w:rFonts w:ascii="Bookman Old Style" w:hAnsi="Bookman Old Style"/>
        </w:rPr>
        <w:sectPr w:rsidR="001B0431" w:rsidRPr="001612E9" w:rsidSect="00096075">
          <w:headerReference w:type="default" r:id="rId10"/>
          <w:footerReference w:type="default" r:id="rId11"/>
          <w:pgSz w:w="12240" w:h="15840"/>
          <w:pgMar w:top="1440" w:right="1080" w:bottom="1440" w:left="1080" w:header="720" w:footer="720" w:gutter="0"/>
          <w:pgNumType w:start="1"/>
          <w:cols w:space="720"/>
          <w:docGrid w:linePitch="360" w:charSpace="47104"/>
        </w:sectPr>
      </w:pPr>
    </w:p>
    <w:p w14:paraId="1C2D6BD7" w14:textId="77777777" w:rsidR="007A7E5D" w:rsidRPr="001612E9" w:rsidRDefault="007A7E5D" w:rsidP="007A7E5D">
      <w:pPr>
        <w:spacing w:line="480" w:lineRule="auto"/>
        <w:ind w:firstLine="1440"/>
        <w:jc w:val="both"/>
        <w:rPr>
          <w:rFonts w:ascii="Bookman Old Style" w:hAnsi="Bookman Old Style"/>
          <w:color w:val="548DD4" w:themeColor="text2" w:themeTint="99"/>
          <w:sz w:val="24"/>
        </w:rPr>
      </w:pPr>
      <w:r w:rsidRPr="001612E9">
        <w:rPr>
          <w:rFonts w:ascii="Bookman Old Style" w:hAnsi="Bookman Old Style"/>
          <w:sz w:val="24"/>
          <w:szCs w:val="24"/>
        </w:rPr>
        <w:t xml:space="preserve">It is true that </w:t>
      </w:r>
      <w:r w:rsidRPr="001612E9">
        <w:rPr>
          <w:rFonts w:ascii="Bookman Old Style" w:hAnsi="Bookman Old Style"/>
          <w:i/>
          <w:iCs/>
          <w:sz w:val="24"/>
          <w:szCs w:val="24"/>
        </w:rPr>
        <w:t>Employment Division, Department of Human Resources of Oregon v. Smith</w:t>
      </w:r>
      <w:r w:rsidRPr="001612E9">
        <w:rPr>
          <w:rFonts w:ascii="Bookman Old Style" w:hAnsi="Bookman Old Style"/>
          <w:sz w:val="24"/>
          <w:szCs w:val="24"/>
        </w:rPr>
        <w:t xml:space="preserve">, 494 U.S. 872, 110 </w:t>
      </w:r>
      <w:proofErr w:type="spellStart"/>
      <w:r w:rsidRPr="001612E9">
        <w:rPr>
          <w:rFonts w:ascii="Bookman Old Style" w:hAnsi="Bookman Old Style"/>
          <w:sz w:val="24"/>
          <w:szCs w:val="24"/>
        </w:rPr>
        <w:t>S.Ct</w:t>
      </w:r>
      <w:proofErr w:type="spellEnd"/>
      <w:r w:rsidRPr="001612E9">
        <w:rPr>
          <w:rFonts w:ascii="Bookman Old Style" w:hAnsi="Bookman Old Style"/>
          <w:sz w:val="24"/>
          <w:szCs w:val="24"/>
        </w:rPr>
        <w:t>. 1595, 108 L.Ed.2d 876 (1990) stands for the proposition that:</w:t>
      </w:r>
    </w:p>
    <w:p w14:paraId="158ED201" w14:textId="77777777" w:rsidR="001B0431" w:rsidRPr="001612E9" w:rsidRDefault="001B0431">
      <w:pPr>
        <w:rPr>
          <w:rFonts w:ascii="Bookman Old Style" w:hAnsi="Bookman Old Style"/>
        </w:rPr>
      </w:pPr>
    </w:p>
    <w:p w14:paraId="231B1B00" w14:textId="77777777" w:rsidR="00F8774E" w:rsidRPr="001612E9" w:rsidRDefault="00F8774E">
      <w:pPr>
        <w:rPr>
          <w:rFonts w:ascii="Bookman Old Style" w:hAnsi="Bookman Old Style"/>
        </w:rPr>
      </w:pPr>
    </w:p>
    <w:p w14:paraId="61E79009" w14:textId="77777777" w:rsidR="00F8774E" w:rsidRDefault="00F8774E">
      <w:pPr>
        <w:rPr>
          <w:rFonts w:ascii="Bookman Old Style" w:hAnsi="Bookman Old Style"/>
        </w:rPr>
      </w:pPr>
    </w:p>
    <w:p w14:paraId="0B8D9C96" w14:textId="77777777" w:rsidR="00311CEB" w:rsidRDefault="00311CEB">
      <w:pPr>
        <w:rPr>
          <w:rFonts w:ascii="Bookman Old Style" w:hAnsi="Bookman Old Style"/>
        </w:rPr>
      </w:pPr>
    </w:p>
    <w:p w14:paraId="52BCEEDF" w14:textId="77777777" w:rsidR="00311CEB" w:rsidRDefault="00311CEB" w:rsidP="00311CEB">
      <w:pPr>
        <w:spacing w:line="480" w:lineRule="auto"/>
        <w:jc w:val="both"/>
        <w:rPr>
          <w:rFonts w:ascii="Bookman Old Style" w:hAnsi="Bookman Old Style"/>
          <w:color w:val="FF0000"/>
          <w:sz w:val="24"/>
          <w:szCs w:val="24"/>
        </w:rPr>
      </w:pPr>
    </w:p>
    <w:p w14:paraId="3524CCAF" w14:textId="77777777" w:rsidR="00311CEB" w:rsidRDefault="00311CEB" w:rsidP="00311CEB">
      <w:pPr>
        <w:spacing w:line="480" w:lineRule="auto"/>
        <w:ind w:firstLine="720"/>
        <w:jc w:val="both"/>
        <w:rPr>
          <w:rFonts w:ascii="Bookman Old Style" w:hAnsi="Bookman Old Style"/>
          <w:color w:val="FF0000"/>
          <w:sz w:val="24"/>
          <w:szCs w:val="24"/>
        </w:rPr>
      </w:pPr>
      <w:r>
        <w:rPr>
          <w:rFonts w:ascii="Bookman Old Style" w:hAnsi="Bookman Old Style"/>
          <w:color w:val="FF0000"/>
          <w:sz w:val="24"/>
          <w:szCs w:val="24"/>
        </w:rPr>
        <w:t xml:space="preserve">The state now has the burden of proving a compelling government interest and should it be able to meet that burden, that the compelling interest cannot be met in a less restrictive manner. Obviously that State deserves an opportunity to prove its case; however, given the fact that the Dane County Courthouse is located in the middles of the City of Madison which has passed an ordinance to allow recreational use and of marijuana, the argument would </w:t>
      </w:r>
    </w:p>
    <w:p w14:paraId="5FCD3016" w14:textId="77777777" w:rsidR="00311CEB" w:rsidRDefault="00311CEB" w:rsidP="00311CEB">
      <w:pPr>
        <w:spacing w:line="480" w:lineRule="auto"/>
        <w:ind w:firstLine="720"/>
        <w:jc w:val="both"/>
        <w:rPr>
          <w:rFonts w:ascii="Bookman Old Style" w:hAnsi="Bookman Old Style"/>
          <w:color w:val="FF0000"/>
          <w:sz w:val="24"/>
          <w:szCs w:val="24"/>
        </w:rPr>
      </w:pPr>
    </w:p>
    <w:p w14:paraId="5DBAA604" w14:textId="77777777" w:rsidR="00311CEB" w:rsidRDefault="00311CEB" w:rsidP="00311CEB">
      <w:pPr>
        <w:spacing w:line="480" w:lineRule="auto"/>
        <w:ind w:firstLine="720"/>
        <w:jc w:val="both"/>
        <w:rPr>
          <w:rFonts w:ascii="Bookman Old Style" w:hAnsi="Bookman Old Style"/>
          <w:color w:val="FF0000"/>
          <w:sz w:val="24"/>
          <w:szCs w:val="24"/>
        </w:rPr>
      </w:pPr>
      <w:r>
        <w:rPr>
          <w:rFonts w:ascii="Bookman Old Style" w:hAnsi="Bookman Old Style"/>
          <w:color w:val="FF0000"/>
          <w:sz w:val="24"/>
          <w:szCs w:val="24"/>
        </w:rPr>
        <w:t>, given that the State has not met its burden of showing a compelling government interest. Even if the State were able to fashion such an argument, the interference would be unconstitutional given plethora of less intrusive means to</w:t>
      </w:r>
    </w:p>
    <w:p w14:paraId="5C7FC21D" w14:textId="77777777" w:rsidR="00311CEB" w:rsidRDefault="00311CEB" w:rsidP="00311CEB">
      <w:pPr>
        <w:spacing w:line="480" w:lineRule="auto"/>
        <w:ind w:firstLine="1440"/>
        <w:jc w:val="both"/>
        <w:rPr>
          <w:rFonts w:ascii="Bookman Old Style" w:hAnsi="Bookman Old Style"/>
          <w:color w:val="FF0000"/>
          <w:sz w:val="24"/>
          <w:szCs w:val="24"/>
        </w:rPr>
      </w:pPr>
    </w:p>
    <w:p w14:paraId="2C46CA7F" w14:textId="77777777" w:rsidR="00311CEB" w:rsidRDefault="00311CEB" w:rsidP="00311CEB">
      <w:pPr>
        <w:spacing w:line="480" w:lineRule="auto"/>
        <w:ind w:firstLine="1440"/>
        <w:jc w:val="both"/>
        <w:rPr>
          <w:rFonts w:ascii="Bookman Old Style" w:hAnsi="Bookman Old Style"/>
          <w:color w:val="FF0000"/>
          <w:sz w:val="24"/>
          <w:szCs w:val="24"/>
        </w:rPr>
      </w:pPr>
    </w:p>
    <w:p w14:paraId="32D33C8F" w14:textId="77777777" w:rsidR="00311CEB" w:rsidRDefault="00311CEB" w:rsidP="00311CEB">
      <w:pPr>
        <w:spacing w:line="480" w:lineRule="auto"/>
        <w:ind w:firstLine="1440"/>
        <w:jc w:val="both"/>
        <w:rPr>
          <w:rFonts w:ascii="Bookman Old Style" w:hAnsi="Bookman Old Style"/>
          <w:color w:val="FF0000"/>
          <w:sz w:val="24"/>
          <w:szCs w:val="24"/>
        </w:rPr>
      </w:pPr>
      <w:r>
        <w:rPr>
          <w:rFonts w:ascii="Bookman Old Style" w:hAnsi="Bookman Old Style"/>
          <w:color w:val="FF0000"/>
          <w:sz w:val="24"/>
          <w:szCs w:val="24"/>
        </w:rPr>
        <w:t xml:space="preserve">   with, the rights of </w:t>
      </w:r>
      <w:proofErr w:type="gramStart"/>
      <w:r>
        <w:rPr>
          <w:rFonts w:ascii="Bookman Old Style" w:hAnsi="Bookman Old Style"/>
          <w:color w:val="FF0000"/>
          <w:sz w:val="24"/>
          <w:szCs w:val="24"/>
        </w:rPr>
        <w:t xml:space="preserve">conscience </w:t>
      </w:r>
      <w:r w:rsidRPr="007C1AC3">
        <w:rPr>
          <w:rFonts w:ascii="Bookman Old Style" w:hAnsi="Bookman Old Style"/>
          <w:color w:val="FF0000"/>
          <w:sz w:val="24"/>
          <w:szCs w:val="24"/>
        </w:rPr>
        <w:t xml:space="preserve"> that</w:t>
      </w:r>
      <w:proofErr w:type="gramEnd"/>
      <w:r w:rsidRPr="007C1AC3">
        <w:rPr>
          <w:rFonts w:ascii="Bookman Old Style" w:hAnsi="Bookman Old Style"/>
          <w:color w:val="FF0000"/>
          <w:sz w:val="24"/>
          <w:szCs w:val="24"/>
        </w:rPr>
        <w:t xml:space="preserve"> all charges related to controlled substances are subject to strict scrutiny.  The </w:t>
      </w:r>
      <w:r w:rsidRPr="007C1AC3">
        <w:rPr>
          <w:rFonts w:ascii="Bookman Old Style" w:hAnsi="Bookman Old Style"/>
          <w:i/>
          <w:color w:val="FF0000"/>
          <w:sz w:val="24"/>
          <w:szCs w:val="24"/>
        </w:rPr>
        <w:t>Fulton</w:t>
      </w:r>
      <w:r w:rsidRPr="007C1AC3">
        <w:rPr>
          <w:rFonts w:ascii="Bookman Old Style" w:hAnsi="Bookman Old Style"/>
          <w:color w:val="FF0000"/>
          <w:sz w:val="24"/>
          <w:szCs w:val="24"/>
        </w:rPr>
        <w:t xml:space="preserve"> Court explains that this is a distinction that makes a difference: </w:t>
      </w:r>
    </w:p>
    <w:p w14:paraId="6CC70C4B" w14:textId="77777777" w:rsidR="00311CEB" w:rsidRDefault="00311CEB" w:rsidP="00311CEB">
      <w:pPr>
        <w:spacing w:line="480" w:lineRule="auto"/>
        <w:jc w:val="both"/>
        <w:rPr>
          <w:rFonts w:ascii="Bookman Old Style" w:hAnsi="Bookman Old Style"/>
          <w:color w:val="548DD4" w:themeColor="text2" w:themeTint="99"/>
          <w:sz w:val="24"/>
          <w:szCs w:val="24"/>
        </w:rPr>
      </w:pPr>
    </w:p>
    <w:p w14:paraId="2B2F8AFD" w14:textId="77777777" w:rsidR="00311CEB" w:rsidRDefault="00311CEB" w:rsidP="00311CEB">
      <w:pPr>
        <w:spacing w:line="480" w:lineRule="auto"/>
        <w:jc w:val="both"/>
        <w:rPr>
          <w:rFonts w:ascii="Bookman Old Style" w:hAnsi="Bookman Old Style"/>
          <w:color w:val="548DD4" w:themeColor="text2" w:themeTint="99"/>
          <w:sz w:val="24"/>
          <w:szCs w:val="24"/>
        </w:rPr>
      </w:pPr>
    </w:p>
    <w:p w14:paraId="59F3DB8F" w14:textId="77777777" w:rsidR="00311CEB" w:rsidRDefault="00311CEB" w:rsidP="00311CEB">
      <w:pPr>
        <w:spacing w:line="480" w:lineRule="auto"/>
        <w:jc w:val="both"/>
        <w:rPr>
          <w:rFonts w:ascii="Bookman Old Style" w:hAnsi="Bookman Old Style"/>
          <w:color w:val="548DD4" w:themeColor="text2" w:themeTint="99"/>
          <w:sz w:val="24"/>
          <w:szCs w:val="24"/>
        </w:rPr>
      </w:pPr>
    </w:p>
    <w:p w14:paraId="7B3ADA02" w14:textId="77777777" w:rsidR="00311CEB" w:rsidRDefault="00311CEB" w:rsidP="00311CEB">
      <w:pPr>
        <w:spacing w:line="480" w:lineRule="auto"/>
        <w:jc w:val="both"/>
        <w:rPr>
          <w:rFonts w:ascii="Bookman Old Style" w:hAnsi="Bookman Old Style"/>
          <w:color w:val="548DD4" w:themeColor="text2" w:themeTint="99"/>
          <w:sz w:val="24"/>
          <w:szCs w:val="24"/>
        </w:rPr>
      </w:pPr>
    </w:p>
    <w:p w14:paraId="1BCA6F7F" w14:textId="77777777" w:rsidR="00311CEB" w:rsidRDefault="00311CEB" w:rsidP="00311CEB">
      <w:pPr>
        <w:spacing w:line="480" w:lineRule="auto"/>
        <w:jc w:val="both"/>
        <w:rPr>
          <w:rFonts w:ascii="Bookman Old Style" w:hAnsi="Bookman Old Style"/>
          <w:color w:val="548DD4" w:themeColor="text2" w:themeTint="99"/>
          <w:sz w:val="24"/>
          <w:szCs w:val="24"/>
        </w:rPr>
      </w:pPr>
    </w:p>
    <w:p w14:paraId="40241CD9" w14:textId="77777777" w:rsidR="00311CEB" w:rsidRPr="001612E9" w:rsidRDefault="00311CEB" w:rsidP="00311CEB">
      <w:pPr>
        <w:spacing w:line="480" w:lineRule="auto"/>
        <w:jc w:val="both"/>
        <w:rPr>
          <w:rFonts w:ascii="Bookman Old Style" w:hAnsi="Bookman Old Style" w:cs="Helvetica"/>
          <w:color w:val="548DD4" w:themeColor="text2" w:themeTint="99"/>
          <w:sz w:val="24"/>
          <w:szCs w:val="24"/>
          <w:shd w:val="clear" w:color="000000" w:fill="FFFFFF"/>
        </w:rPr>
      </w:pPr>
      <w:r>
        <w:rPr>
          <w:rFonts w:ascii="Bookman Old Style" w:hAnsi="Bookman Old Style"/>
          <w:color w:val="548DD4" w:themeColor="text2" w:themeTint="99"/>
          <w:sz w:val="24"/>
          <w:szCs w:val="24"/>
        </w:rPr>
        <w:t xml:space="preserve">There is no factual basis to support the </w:t>
      </w:r>
      <w:r w:rsidRPr="00E00FB1">
        <w:rPr>
          <w:rFonts w:ascii="Bookman Old Style" w:hAnsi="Bookman Old Style"/>
          <w:sz w:val="24"/>
          <w:szCs w:val="24"/>
        </w:rPr>
        <w:t>State’s assertions that there is a compelling interest in the enforcement of all drug laws</w:t>
      </w:r>
      <w:r>
        <w:rPr>
          <w:rFonts w:ascii="Bookman Old Style" w:hAnsi="Bookman Old Style"/>
          <w:sz w:val="24"/>
          <w:szCs w:val="24"/>
        </w:rPr>
        <w:t xml:space="preserve">, given the various exemptions.  </w:t>
      </w:r>
    </w:p>
    <w:p w14:paraId="44739623" w14:textId="77777777" w:rsidR="00311CEB" w:rsidRDefault="00311CEB" w:rsidP="00311CEB">
      <w:pPr>
        <w:spacing w:line="480" w:lineRule="auto"/>
        <w:jc w:val="both"/>
        <w:rPr>
          <w:rFonts w:ascii="Bookman Old Style" w:hAnsi="Bookman Old Style"/>
          <w:color w:val="548DD4" w:themeColor="text2" w:themeTint="99"/>
          <w:sz w:val="24"/>
          <w:szCs w:val="24"/>
        </w:rPr>
      </w:pPr>
    </w:p>
    <w:p w14:paraId="2153865F" w14:textId="77777777" w:rsidR="00311CEB" w:rsidRDefault="00311CEB" w:rsidP="00311CEB">
      <w:pPr>
        <w:spacing w:line="480" w:lineRule="auto"/>
        <w:jc w:val="both"/>
        <w:rPr>
          <w:rFonts w:ascii="Bookman Old Style" w:hAnsi="Bookman Old Style"/>
          <w:color w:val="FF0000"/>
          <w:sz w:val="24"/>
          <w:szCs w:val="24"/>
        </w:rPr>
      </w:pPr>
      <w:r>
        <w:rPr>
          <w:rFonts w:ascii="Bookman Old Style" w:hAnsi="Bookman Old Style"/>
          <w:color w:val="548DD4" w:themeColor="text2" w:themeTint="99"/>
          <w:sz w:val="24"/>
          <w:szCs w:val="24"/>
        </w:rPr>
        <w:t xml:space="preserve">The evidence is overwhelming, the State cannot in good faith assert that the law is a law of general application. Nevertheless, Mr. </w:t>
      </w:r>
      <w:proofErr w:type="spellStart"/>
      <w:r>
        <w:rPr>
          <w:rFonts w:ascii="Bookman Old Style" w:hAnsi="Bookman Old Style"/>
          <w:color w:val="548DD4" w:themeColor="text2" w:themeTint="99"/>
          <w:sz w:val="24"/>
          <w:szCs w:val="24"/>
        </w:rPr>
        <w:t>Schwork</w:t>
      </w:r>
      <w:proofErr w:type="spellEnd"/>
      <w:r>
        <w:rPr>
          <w:rFonts w:ascii="Bookman Old Style" w:hAnsi="Bookman Old Style"/>
          <w:color w:val="548DD4" w:themeColor="text2" w:themeTint="99"/>
          <w:sz w:val="24"/>
          <w:szCs w:val="24"/>
        </w:rPr>
        <w:t xml:space="preserve"> anticipates that the State will argue that it has an interest in enforcing state laws. However, the question before the Court, “…</w:t>
      </w:r>
      <w:r w:rsidRPr="001612E9">
        <w:rPr>
          <w:rFonts w:ascii="Bookman Old Style" w:hAnsi="Bookman Old Style"/>
          <w:color w:val="548DD4" w:themeColor="text2" w:themeTint="99"/>
          <w:sz w:val="24"/>
          <w:shd w:val="clear" w:color="000000" w:fill="FFFFFF"/>
        </w:rPr>
        <w:t>whether</w:t>
      </w:r>
      <w:r>
        <w:rPr>
          <w:rFonts w:ascii="Bookman Old Style" w:hAnsi="Bookman Old Style"/>
          <w:color w:val="548DD4" w:themeColor="text2" w:themeTint="99"/>
          <w:sz w:val="24"/>
          <w:szCs w:val="24"/>
        </w:rPr>
        <w:t xml:space="preserve"> </w:t>
      </w:r>
      <w:r w:rsidRPr="001612E9">
        <w:rPr>
          <w:rFonts w:ascii="Bookman Old Style" w:hAnsi="Bookman Old Style"/>
          <w:color w:val="548DD4" w:themeColor="text2" w:themeTint="99"/>
          <w:sz w:val="24"/>
          <w:shd w:val="clear" w:color="000000" w:fill="FFFFFF"/>
        </w:rPr>
        <w:t xml:space="preserve">it has such an interest in denying an exception to </w:t>
      </w:r>
      <w:r>
        <w:rPr>
          <w:rFonts w:ascii="Bookman Old Style" w:hAnsi="Bookman Old Style"/>
          <w:color w:val="548DD4" w:themeColor="text2" w:themeTint="99"/>
          <w:sz w:val="24"/>
          <w:shd w:val="clear" w:color="000000" w:fill="FFFFFF"/>
        </w:rPr>
        <w:t>[Mr. Schworck]</w:t>
      </w:r>
      <w:r w:rsidRPr="001612E9">
        <w:rPr>
          <w:rFonts w:ascii="Bookman Old Style" w:hAnsi="Bookman Old Style"/>
          <w:color w:val="548DD4" w:themeColor="text2" w:themeTint="99"/>
          <w:sz w:val="24"/>
          <w:shd w:val="clear" w:color="000000" w:fill="FFFFFF"/>
        </w:rPr>
        <w:t>.</w:t>
      </w:r>
      <w:r>
        <w:rPr>
          <w:rFonts w:ascii="Bookman Old Style" w:hAnsi="Bookman Old Style"/>
          <w:color w:val="548DD4" w:themeColor="text2" w:themeTint="99"/>
          <w:sz w:val="24"/>
          <w:shd w:val="clear" w:color="000000" w:fill="FFFFFF"/>
        </w:rPr>
        <w:t xml:space="preserve">” (CITE) </w:t>
      </w:r>
      <w:r w:rsidRPr="007C1AC3">
        <w:rPr>
          <w:rFonts w:ascii="Bookman Old Style" w:hAnsi="Bookman Old Style"/>
          <w:color w:val="FF0000"/>
          <w:sz w:val="24"/>
          <w:szCs w:val="24"/>
        </w:rPr>
        <w:t>Mr. Schworck again asserts</w:t>
      </w:r>
      <w:r>
        <w:rPr>
          <w:rFonts w:ascii="Bookman Old Style" w:hAnsi="Bookman Old Style"/>
          <w:color w:val="FF0000"/>
          <w:sz w:val="24"/>
          <w:szCs w:val="24"/>
        </w:rPr>
        <w:t xml:space="preserve"> that interference with his right to worship according to the dictates of his conscience is unconstitutional as applied to him.  The Constitution requires courts to </w:t>
      </w:r>
      <w:r w:rsidRPr="001612E9">
        <w:rPr>
          <w:rFonts w:ascii="Bookman Old Style" w:hAnsi="Bookman Old Style" w:cs="Helvetica"/>
          <w:color w:val="548DD4" w:themeColor="text2" w:themeTint="99"/>
          <w:sz w:val="24"/>
          <w:szCs w:val="24"/>
          <w:shd w:val="clear" w:color="000000" w:fill="FFFFFF"/>
        </w:rPr>
        <w:t>"</w:t>
      </w:r>
      <w:proofErr w:type="gramStart"/>
      <w:r w:rsidRPr="001612E9">
        <w:rPr>
          <w:rFonts w:ascii="Bookman Old Style" w:hAnsi="Bookman Old Style" w:cs="Helvetica"/>
          <w:color w:val="548DD4" w:themeColor="text2" w:themeTint="99"/>
          <w:sz w:val="24"/>
          <w:szCs w:val="24"/>
          <w:shd w:val="clear" w:color="000000" w:fill="FFFFFF"/>
        </w:rPr>
        <w:t>scrutinize</w:t>
      </w:r>
      <w:r w:rsidRPr="001612E9">
        <w:rPr>
          <w:rFonts w:ascii="Bookman Old Style" w:hAnsi="Bookman Old Style"/>
          <w:color w:val="548DD4" w:themeColor="text2" w:themeTint="99"/>
          <w:sz w:val="24"/>
          <w:shd w:val="clear" w:color="000000" w:fill="FFFFFF"/>
        </w:rPr>
        <w:t>[</w:t>
      </w:r>
      <w:proofErr w:type="gramEnd"/>
      <w:r w:rsidRPr="001612E9">
        <w:rPr>
          <w:rFonts w:ascii="Bookman Old Style" w:hAnsi="Bookman Old Style"/>
          <w:color w:val="548DD4" w:themeColor="text2" w:themeTint="99"/>
          <w:sz w:val="24"/>
          <w:shd w:val="clear" w:color="000000" w:fill="FFFFFF"/>
        </w:rPr>
        <w:t>]</w:t>
      </w:r>
      <w:r w:rsidRPr="001612E9">
        <w:rPr>
          <w:rFonts w:ascii="Bookman Old Style" w:hAnsi="Bookman Old Style" w:cs="Helvetica"/>
          <w:color w:val="548DD4" w:themeColor="text2" w:themeTint="99"/>
          <w:sz w:val="24"/>
          <w:szCs w:val="24"/>
          <w:shd w:val="clear" w:color="000000" w:fill="FFFFFF"/>
        </w:rPr>
        <w:t xml:space="preserve"> the asserted harm of granting specific </w:t>
      </w:r>
      <w:r w:rsidRPr="00311CEB">
        <w:rPr>
          <w:rFonts w:ascii="Bookman Old Style" w:hAnsi="Bookman Old Style" w:cs="Helvetica"/>
          <w:b/>
          <w:bCs/>
          <w:color w:val="548DD4" w:themeColor="text2" w:themeTint="99"/>
          <w:sz w:val="24"/>
          <w:szCs w:val="24"/>
          <w:shd w:val="clear" w:color="000000" w:fill="FFFFFF"/>
        </w:rPr>
        <w:t>exemptions</w:t>
      </w:r>
      <w:r w:rsidRPr="001612E9">
        <w:rPr>
          <w:rFonts w:ascii="Bookman Old Style" w:hAnsi="Bookman Old Style" w:cs="Helvetica"/>
          <w:color w:val="548DD4" w:themeColor="text2" w:themeTint="99"/>
          <w:sz w:val="24"/>
          <w:szCs w:val="24"/>
          <w:shd w:val="clear" w:color="000000" w:fill="FFFFFF"/>
        </w:rPr>
        <w:t xml:space="preserve"> to particular religious claimants." </w:t>
      </w:r>
      <w:r w:rsidRPr="001612E9">
        <w:rPr>
          <w:rFonts w:ascii="Bookman Old Style" w:hAnsi="Bookman Old Style" w:cs="Helvetica"/>
          <w:i/>
          <w:color w:val="548DD4" w:themeColor="text2" w:themeTint="99"/>
          <w:sz w:val="24"/>
          <w:szCs w:val="24"/>
          <w:shd w:val="clear" w:color="000000" w:fill="FFFFFF"/>
        </w:rPr>
        <w:t>O Centro</w:t>
      </w:r>
      <w:r w:rsidRPr="001612E9">
        <w:rPr>
          <w:rFonts w:ascii="Bookman Old Style" w:hAnsi="Bookman Old Style" w:cs="Helvetica"/>
          <w:color w:val="548DD4" w:themeColor="text2" w:themeTint="99"/>
          <w:sz w:val="24"/>
          <w:szCs w:val="24"/>
          <w:shd w:val="clear" w:color="000000" w:fill="FFFFFF"/>
        </w:rPr>
        <w:t>, 546 U. S., at 431.</w:t>
      </w:r>
      <w:r>
        <w:rPr>
          <w:rFonts w:ascii="Bookman Old Style" w:hAnsi="Bookman Old Style" w:cs="Helvetica"/>
          <w:color w:val="548DD4" w:themeColor="text2" w:themeTint="99"/>
          <w:sz w:val="24"/>
          <w:szCs w:val="24"/>
          <w:shd w:val="clear" w:color="000000" w:fill="FFFFFF"/>
        </w:rPr>
        <w:t xml:space="preserve"> (emphasis added).</w:t>
      </w:r>
    </w:p>
    <w:p w14:paraId="1C56B332" w14:textId="77777777" w:rsidR="00311CEB" w:rsidRDefault="00311CEB" w:rsidP="00311CEB">
      <w:pPr>
        <w:spacing w:line="480" w:lineRule="auto"/>
        <w:jc w:val="both"/>
        <w:rPr>
          <w:rFonts w:ascii="Bookman Old Style" w:hAnsi="Bookman Old Style"/>
          <w:color w:val="FF0000"/>
          <w:sz w:val="24"/>
          <w:szCs w:val="24"/>
        </w:rPr>
      </w:pPr>
    </w:p>
    <w:p w14:paraId="45253FFC" w14:textId="77777777" w:rsidR="00311CEB" w:rsidRDefault="00311CEB" w:rsidP="00311CEB">
      <w:pPr>
        <w:spacing w:line="480" w:lineRule="auto"/>
        <w:jc w:val="both"/>
        <w:rPr>
          <w:rFonts w:ascii="Bookman Old Style" w:hAnsi="Bookman Old Style"/>
          <w:color w:val="FF0000"/>
          <w:sz w:val="24"/>
          <w:szCs w:val="24"/>
        </w:rPr>
      </w:pPr>
    </w:p>
    <w:p w14:paraId="41147094" w14:textId="77777777" w:rsidR="00311CEB" w:rsidRDefault="00311CEB" w:rsidP="00311CEB">
      <w:pPr>
        <w:spacing w:line="480" w:lineRule="auto"/>
        <w:jc w:val="both"/>
        <w:rPr>
          <w:rFonts w:ascii="Bookman Old Style" w:hAnsi="Bookman Old Style"/>
          <w:color w:val="FF0000"/>
          <w:sz w:val="24"/>
          <w:szCs w:val="24"/>
        </w:rPr>
      </w:pPr>
    </w:p>
    <w:p w14:paraId="482FA2ED" w14:textId="77777777" w:rsidR="00311CEB" w:rsidRDefault="00311CEB" w:rsidP="00311CEB">
      <w:pPr>
        <w:spacing w:line="480" w:lineRule="auto"/>
        <w:ind w:firstLine="1440"/>
        <w:jc w:val="both"/>
        <w:rPr>
          <w:rFonts w:ascii="Bookman Old Style" w:hAnsi="Bookman Old Style"/>
          <w:color w:val="FF0000"/>
          <w:sz w:val="24"/>
          <w:szCs w:val="24"/>
        </w:rPr>
      </w:pPr>
    </w:p>
    <w:p w14:paraId="668A2AAC" w14:textId="77777777" w:rsidR="00311CEB" w:rsidRDefault="00311CEB" w:rsidP="00311CEB">
      <w:pPr>
        <w:spacing w:line="480" w:lineRule="auto"/>
        <w:ind w:firstLine="1440"/>
        <w:jc w:val="both"/>
        <w:rPr>
          <w:rFonts w:ascii="Bookman Old Style" w:hAnsi="Bookman Old Style"/>
          <w:color w:val="FF0000"/>
          <w:sz w:val="24"/>
          <w:szCs w:val="24"/>
        </w:rPr>
      </w:pPr>
    </w:p>
    <w:p w14:paraId="5D93FAC0" w14:textId="77777777" w:rsidR="00311CEB" w:rsidRPr="001612E9" w:rsidRDefault="00311CEB" w:rsidP="00311CEB">
      <w:pPr>
        <w:spacing w:line="480" w:lineRule="auto"/>
        <w:jc w:val="both"/>
        <w:rPr>
          <w:rFonts w:ascii="Bookman Old Style" w:hAnsi="Bookman Old Style"/>
          <w:color w:val="548DD4" w:themeColor="text2" w:themeTint="99"/>
          <w:sz w:val="24"/>
          <w:szCs w:val="24"/>
        </w:rPr>
      </w:pPr>
    </w:p>
    <w:p w14:paraId="110771AB" w14:textId="77777777" w:rsidR="00311CEB" w:rsidRPr="001612E9" w:rsidRDefault="00311CEB">
      <w:pPr>
        <w:rPr>
          <w:rFonts w:ascii="Bookman Old Style" w:hAnsi="Bookman Old Style"/>
        </w:rPr>
      </w:pPr>
    </w:p>
    <w:sectPr w:rsidR="00311CEB" w:rsidRPr="001612E9">
      <w:footerReference w:type="default" r:id="rId12"/>
      <w:type w:val="continuous"/>
      <w:pgSz w:w="12240" w:h="15840"/>
      <w:pgMar w:top="1440" w:right="1800" w:bottom="1440" w:left="1800" w:header="720" w:footer="720" w:gutter="0"/>
      <w:cols w:space="720"/>
      <w:docGrid w:linePitch="360" w:charSpace="471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9AC868" w14:textId="77777777" w:rsidR="00AD4C75" w:rsidRDefault="00AD4C75">
      <w:r>
        <w:separator/>
      </w:r>
    </w:p>
  </w:endnote>
  <w:endnote w:type="continuationSeparator" w:id="0">
    <w:p w14:paraId="53768D41" w14:textId="77777777" w:rsidR="00AD4C75" w:rsidRDefault="00AD4C75">
      <w:r>
        <w:continuationSeparator/>
      </w:r>
    </w:p>
  </w:endnote>
  <w:endnote w:type="continuationNotice" w:id="1">
    <w:p w14:paraId="0CBFD144" w14:textId="77777777" w:rsidR="00AD4C75" w:rsidRDefault="00AD4C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entury Schoolbook">
    <w:altName w:val="Century Schoolbook"/>
    <w:panose1 w:val="0204060405050502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7241EE" w14:textId="77777777" w:rsidR="009D10A3" w:rsidRDefault="009D10A3">
    <w:pPr>
      <w:pStyle w:val="Footer"/>
      <w:jc w:val="center"/>
    </w:pPr>
    <w:r>
      <w:t xml:space="preserve">- </w:t>
    </w:r>
    <w:r>
      <w:rPr>
        <w:rStyle w:val="PageNumber"/>
      </w:rPr>
      <w:fldChar w:fldCharType="begin"/>
    </w:r>
    <w:r>
      <w:rPr>
        <w:rFonts w:hint="eastAsia"/>
      </w:rPr>
      <w:instrText>PAGE  \* MERGEFORMAT</w:instrText>
    </w:r>
    <w:r>
      <w:fldChar w:fldCharType="separate"/>
    </w:r>
    <w:r>
      <w:rPr>
        <w:rStyle w:val="PageNumber"/>
      </w:rPr>
      <w:t>10</w:t>
    </w:r>
    <w:r>
      <w:rPr>
        <w:rStyle w:val="PageNumber"/>
      </w:rPr>
      <w:fldChar w:fldCharType="end"/>
    </w:r>
    <w:r>
      <w:rPr>
        <w:rStyle w:val="PageNumber"/>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7302E" w14:textId="77777777" w:rsidR="009D10A3" w:rsidRDefault="009D10A3">
    <w:pPr>
      <w:pStyle w:val="Footer"/>
      <w:jc w:val="center"/>
    </w:pPr>
    <w:r>
      <w:t xml:space="preserve">- </w:t>
    </w:r>
    <w:r>
      <w:rPr>
        <w:rStyle w:val="PageNumber"/>
      </w:rPr>
      <w:fldChar w:fldCharType="begin"/>
    </w:r>
    <w:r>
      <w:rPr>
        <w:rFonts w:hint="eastAsia"/>
      </w:rPr>
      <w:instrText>PAGE  \* MERGEFORMAT</w:instrText>
    </w:r>
    <w:r>
      <w:fldChar w:fldCharType="separate"/>
    </w:r>
    <w:r>
      <w:rPr>
        <w:rStyle w:val="PageNumber"/>
      </w:rPr>
      <w:t>1</w:t>
    </w:r>
    <w:r>
      <w:rPr>
        <w:rStyle w:val="PageNumber"/>
      </w:rPr>
      <w:fldChar w:fldCharType="end"/>
    </w:r>
    <w:r>
      <w:rPr>
        <w:rStyle w:val="PageNumber"/>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66FD64" w14:textId="77777777" w:rsidR="00AD4C75" w:rsidRDefault="00AD4C75">
      <w:r>
        <w:separator/>
      </w:r>
    </w:p>
  </w:footnote>
  <w:footnote w:type="continuationSeparator" w:id="0">
    <w:p w14:paraId="28CF6A4A" w14:textId="77777777" w:rsidR="00AD4C75" w:rsidRDefault="00AD4C75">
      <w:r>
        <w:continuationSeparator/>
      </w:r>
    </w:p>
  </w:footnote>
  <w:footnote w:type="continuationNotice" w:id="1">
    <w:p w14:paraId="3DABED86" w14:textId="77777777" w:rsidR="00AD4C75" w:rsidRDefault="00AD4C75"/>
  </w:footnote>
  <w:footnote w:id="2">
    <w:p w14:paraId="65A05F65" w14:textId="77777777" w:rsidR="009D10A3" w:rsidRDefault="009D10A3" w:rsidP="0072234D">
      <w:pPr>
        <w:pStyle w:val="FootnoteText"/>
      </w:pPr>
      <w:r>
        <w:rPr>
          <w:rStyle w:val="FootnoteReference"/>
        </w:rPr>
        <w:footnoteRef/>
      </w:r>
      <w:r>
        <w:t xml:space="preserve"> </w:t>
      </w:r>
      <w:hyperlink r:id="rId1" w:history="1">
        <w:r w:rsidRPr="00B07608">
          <w:rPr>
            <w:rStyle w:val="Hyperlink"/>
          </w:rPr>
          <w:t>https://www.deadiversion.usdoj.gov/GDP/(DEA-DC-5)%20Guidance%20Regarding%20Petitions%20for%20Religious%20Exemptions.pdf</w:t>
        </w:r>
      </w:hyperlink>
    </w:p>
    <w:p w14:paraId="5478A152" w14:textId="77777777" w:rsidR="009D10A3" w:rsidRDefault="009D10A3" w:rsidP="0072234D">
      <w:pPr>
        <w:pStyle w:val="FootnoteText"/>
      </w:pPr>
    </w:p>
  </w:footnote>
  <w:footnote w:id="3">
    <w:p w14:paraId="32D1BBC1" w14:textId="77777777" w:rsidR="009D10A3" w:rsidRDefault="009D10A3">
      <w:pPr>
        <w:pStyle w:val="FootnoteText"/>
      </w:pPr>
      <w:r>
        <w:rPr>
          <w:rStyle w:val="FootnoteReference"/>
        </w:rPr>
        <w:footnoteRef/>
      </w:r>
      <w:r>
        <w:t xml:space="preserve"> </w:t>
      </w:r>
      <w:r w:rsidRPr="004E58EE">
        <w:t>https://www.justice.gov/olc/opinion/peyote-exemption-native-american-church</w:t>
      </w:r>
    </w:p>
  </w:footnote>
  <w:footnote w:id="4">
    <w:p w14:paraId="331CA358" w14:textId="77777777" w:rsidR="009D10A3" w:rsidRDefault="009D10A3">
      <w:pPr>
        <w:pStyle w:val="FootnoteText"/>
      </w:pPr>
      <w:r>
        <w:rPr>
          <w:rStyle w:val="FootnoteReference"/>
        </w:rPr>
        <w:footnoteRef/>
      </w:r>
      <w:r>
        <w:t xml:space="preserve"> </w:t>
      </w:r>
      <w:hyperlink r:id="rId2" w:history="1">
        <w:r>
          <w:rPr>
            <w:rStyle w:val="Hyperlink"/>
          </w:rPr>
          <w:t>https://library.municode.com/wi/madison/codes/code_of_ordinances?nodeId=COORMAWIVOIICH20--31_CH23OFAGPUPO_23.20RECOCA</w:t>
        </w:r>
      </w:hyperlink>
    </w:p>
    <w:p w14:paraId="6CB344B4" w14:textId="77777777" w:rsidR="009D10A3" w:rsidRDefault="009D10A3">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5F9026" w14:textId="77777777" w:rsidR="009D10A3" w:rsidRDefault="009D10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000000"/>
    <w:multiLevelType w:val="hybridMultilevel"/>
    <w:tmpl w:val="4461BBF2"/>
    <w:lvl w:ilvl="0" w:tplc="4BAED948">
      <w:start w:val="1"/>
      <w:numFmt w:val="bullet"/>
      <w:lvlText w:val="·"/>
      <w:lvlJc w:val="left"/>
      <w:pPr>
        <w:tabs>
          <w:tab w:val="left" w:pos="720"/>
        </w:tabs>
        <w:ind w:left="720" w:hanging="360"/>
      </w:pPr>
      <w:rPr>
        <w:rFonts w:ascii="Symbol" w:hAnsi="Symbol" w:hint="default"/>
        <w:sz w:val="20"/>
        <w:szCs w:val="20"/>
      </w:rPr>
    </w:lvl>
    <w:lvl w:ilvl="1" w:tplc="216C7A0A">
      <w:start w:val="1"/>
      <w:numFmt w:val="bullet"/>
      <w:lvlText w:val="o"/>
      <w:lvlJc w:val="left"/>
      <w:pPr>
        <w:tabs>
          <w:tab w:val="left" w:pos="1440"/>
        </w:tabs>
        <w:ind w:left="1440" w:hanging="360"/>
      </w:pPr>
      <w:rPr>
        <w:rFonts w:ascii="Courier New" w:hAnsi="Courier New" w:hint="default"/>
        <w:sz w:val="20"/>
        <w:szCs w:val="20"/>
      </w:rPr>
    </w:lvl>
    <w:lvl w:ilvl="2" w:tplc="5C3C0306">
      <w:start w:val="1"/>
      <w:numFmt w:val="bullet"/>
      <w:lvlText w:val="§"/>
      <w:lvlJc w:val="left"/>
      <w:pPr>
        <w:tabs>
          <w:tab w:val="left" w:pos="2160"/>
        </w:tabs>
        <w:ind w:left="2160" w:hanging="360"/>
      </w:pPr>
      <w:rPr>
        <w:rFonts w:ascii="Wingdings" w:hAnsi="Wingdings" w:hint="default"/>
        <w:sz w:val="20"/>
        <w:szCs w:val="20"/>
      </w:rPr>
    </w:lvl>
    <w:lvl w:ilvl="3" w:tplc="77C2B4F8">
      <w:start w:val="1"/>
      <w:numFmt w:val="bullet"/>
      <w:lvlText w:val="§"/>
      <w:lvlJc w:val="left"/>
      <w:pPr>
        <w:tabs>
          <w:tab w:val="left" w:pos="2880"/>
        </w:tabs>
        <w:ind w:left="2880" w:hanging="360"/>
      </w:pPr>
      <w:rPr>
        <w:rFonts w:ascii="Wingdings" w:hAnsi="Wingdings" w:hint="default"/>
        <w:sz w:val="20"/>
        <w:szCs w:val="20"/>
      </w:rPr>
    </w:lvl>
    <w:lvl w:ilvl="4" w:tplc="FFDC3684">
      <w:start w:val="1"/>
      <w:numFmt w:val="bullet"/>
      <w:lvlText w:val="§"/>
      <w:lvlJc w:val="left"/>
      <w:pPr>
        <w:tabs>
          <w:tab w:val="left" w:pos="3600"/>
        </w:tabs>
        <w:ind w:left="3600" w:hanging="360"/>
      </w:pPr>
      <w:rPr>
        <w:rFonts w:ascii="Wingdings" w:hAnsi="Wingdings" w:hint="default"/>
        <w:sz w:val="20"/>
        <w:szCs w:val="20"/>
      </w:rPr>
    </w:lvl>
    <w:lvl w:ilvl="5" w:tplc="F48ADC04">
      <w:start w:val="1"/>
      <w:numFmt w:val="bullet"/>
      <w:lvlText w:val="§"/>
      <w:lvlJc w:val="left"/>
      <w:pPr>
        <w:tabs>
          <w:tab w:val="left" w:pos="4320"/>
        </w:tabs>
        <w:ind w:left="4320" w:hanging="360"/>
      </w:pPr>
      <w:rPr>
        <w:rFonts w:ascii="Wingdings" w:hAnsi="Wingdings" w:hint="default"/>
        <w:sz w:val="20"/>
        <w:szCs w:val="20"/>
      </w:rPr>
    </w:lvl>
    <w:lvl w:ilvl="6" w:tplc="10562374">
      <w:start w:val="1"/>
      <w:numFmt w:val="bullet"/>
      <w:lvlText w:val="§"/>
      <w:lvlJc w:val="left"/>
      <w:pPr>
        <w:tabs>
          <w:tab w:val="left" w:pos="5040"/>
        </w:tabs>
        <w:ind w:left="5040" w:hanging="360"/>
      </w:pPr>
      <w:rPr>
        <w:rFonts w:ascii="Wingdings" w:hAnsi="Wingdings" w:hint="default"/>
        <w:sz w:val="20"/>
        <w:szCs w:val="20"/>
      </w:rPr>
    </w:lvl>
    <w:lvl w:ilvl="7" w:tplc="669E487A">
      <w:start w:val="1"/>
      <w:numFmt w:val="bullet"/>
      <w:lvlText w:val="§"/>
      <w:lvlJc w:val="left"/>
      <w:pPr>
        <w:tabs>
          <w:tab w:val="left" w:pos="5760"/>
        </w:tabs>
        <w:ind w:left="5760" w:hanging="360"/>
      </w:pPr>
      <w:rPr>
        <w:rFonts w:ascii="Wingdings" w:hAnsi="Wingdings" w:hint="default"/>
        <w:sz w:val="20"/>
        <w:szCs w:val="20"/>
      </w:rPr>
    </w:lvl>
    <w:lvl w:ilvl="8" w:tplc="FB0CC74C">
      <w:start w:val="1"/>
      <w:numFmt w:val="bullet"/>
      <w:lvlText w:val="§"/>
      <w:lvlJc w:val="left"/>
      <w:pPr>
        <w:tabs>
          <w:tab w:val="left" w:pos="6480"/>
        </w:tabs>
        <w:ind w:left="6480" w:hanging="360"/>
      </w:pPr>
      <w:rPr>
        <w:rFonts w:ascii="Wingdings" w:hAnsi="Wingdings" w:hint="default"/>
        <w:sz w:val="20"/>
        <w:szCs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proofState w:spelling="clean" w:grammar="clean"/>
  <w:defaultTabStop w:val="720"/>
  <w:displayHorizontalDrawingGridEvery w:val="0"/>
  <w:displayVertic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431"/>
    <w:rsid w:val="00086B7A"/>
    <w:rsid w:val="00096075"/>
    <w:rsid w:val="000C500E"/>
    <w:rsid w:val="000F547B"/>
    <w:rsid w:val="00131944"/>
    <w:rsid w:val="001346C0"/>
    <w:rsid w:val="00142349"/>
    <w:rsid w:val="001612E9"/>
    <w:rsid w:val="00162AE4"/>
    <w:rsid w:val="0017063A"/>
    <w:rsid w:val="001B0431"/>
    <w:rsid w:val="00201343"/>
    <w:rsid w:val="0020700B"/>
    <w:rsid w:val="002113ED"/>
    <w:rsid w:val="00232BE1"/>
    <w:rsid w:val="00250A42"/>
    <w:rsid w:val="0028592C"/>
    <w:rsid w:val="002A7BC7"/>
    <w:rsid w:val="002C09ED"/>
    <w:rsid w:val="002D1405"/>
    <w:rsid w:val="002E0DFC"/>
    <w:rsid w:val="00311CEB"/>
    <w:rsid w:val="00321AEA"/>
    <w:rsid w:val="00342A07"/>
    <w:rsid w:val="00346171"/>
    <w:rsid w:val="003D6B79"/>
    <w:rsid w:val="00437DF1"/>
    <w:rsid w:val="00475B73"/>
    <w:rsid w:val="004D5EBF"/>
    <w:rsid w:val="004E58EE"/>
    <w:rsid w:val="004F152D"/>
    <w:rsid w:val="00531743"/>
    <w:rsid w:val="005663E2"/>
    <w:rsid w:val="00583CAC"/>
    <w:rsid w:val="00584F31"/>
    <w:rsid w:val="005B1A56"/>
    <w:rsid w:val="005C3158"/>
    <w:rsid w:val="005E4431"/>
    <w:rsid w:val="005F28D6"/>
    <w:rsid w:val="00641990"/>
    <w:rsid w:val="006677E8"/>
    <w:rsid w:val="006A54B6"/>
    <w:rsid w:val="006C3E80"/>
    <w:rsid w:val="00705E10"/>
    <w:rsid w:val="0072234D"/>
    <w:rsid w:val="00733F4F"/>
    <w:rsid w:val="00747F6F"/>
    <w:rsid w:val="007714F5"/>
    <w:rsid w:val="007A7E5D"/>
    <w:rsid w:val="007C1AC3"/>
    <w:rsid w:val="007D5863"/>
    <w:rsid w:val="0086166A"/>
    <w:rsid w:val="00927929"/>
    <w:rsid w:val="009645D3"/>
    <w:rsid w:val="00965B33"/>
    <w:rsid w:val="00984E66"/>
    <w:rsid w:val="00995D12"/>
    <w:rsid w:val="009D10A3"/>
    <w:rsid w:val="00A04DC3"/>
    <w:rsid w:val="00A32618"/>
    <w:rsid w:val="00A610B7"/>
    <w:rsid w:val="00AD4C75"/>
    <w:rsid w:val="00AE3548"/>
    <w:rsid w:val="00AF3E63"/>
    <w:rsid w:val="00B03C61"/>
    <w:rsid w:val="00B82EA3"/>
    <w:rsid w:val="00CA2A46"/>
    <w:rsid w:val="00D2032A"/>
    <w:rsid w:val="00D86B7B"/>
    <w:rsid w:val="00DD0DA5"/>
    <w:rsid w:val="00E00FB1"/>
    <w:rsid w:val="00E02416"/>
    <w:rsid w:val="00E4284B"/>
    <w:rsid w:val="00E538A8"/>
    <w:rsid w:val="00E770A5"/>
    <w:rsid w:val="00E82E8F"/>
    <w:rsid w:val="00EC35F7"/>
    <w:rsid w:val="00ED6D89"/>
    <w:rsid w:val="00F24D92"/>
    <w:rsid w:val="00F31AFE"/>
    <w:rsid w:val="00F415D9"/>
    <w:rsid w:val="00F8774E"/>
    <w:rsid w:val="00FF39AA"/>
  </w:rsids>
  <m:mathPr>
    <m:mathFont m:val="Cambria Math"/>
    <m:brkBin m:val="before"/>
    <m:brkBinSub m:val="--"/>
    <m:smallFrac/>
    <m:dispDef/>
    <m:lMargin m:val="1440"/>
    <m:rMargin m:val="144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9E7286"/>
  <w15:docId w15:val="{EE97303C-90D5-4135-B8E6-75D1C5727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1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iPriority="0" w:unhideWhenUsed="1"/>
    <w:lsdException w:name="Smart Link" w:semiHidden="1" w:unhideWhenUsed="1"/>
  </w:latentStyles>
  <w:style w:type="paragraph" w:default="1" w:styleId="Normal">
    <w:name w:val="Normal"/>
    <w:qFormat/>
    <w:rsid w:val="002C09ED"/>
  </w:style>
  <w:style w:type="paragraph" w:styleId="Heading1">
    <w:name w:val="heading 1"/>
    <w:basedOn w:val="Normal"/>
    <w:next w:val="Normal"/>
    <w:uiPriority w:val="9"/>
    <w:qFormat/>
    <w:pPr>
      <w:spacing w:before="240" w:after="60"/>
      <w:outlineLvl w:val="0"/>
    </w:pPr>
    <w:rPr>
      <w:rFonts w:ascii="Arial" w:hAnsi="Arial"/>
      <w:b/>
      <w:sz w:val="28"/>
      <w:szCs w:val="28"/>
    </w:rPr>
  </w:style>
  <w:style w:type="paragraph" w:styleId="Heading3">
    <w:name w:val="heading 3"/>
    <w:basedOn w:val="Normal"/>
    <w:next w:val="Normal"/>
    <w:uiPriority w:val="9"/>
    <w:unhideWhenUsed/>
    <w:qFormat/>
    <w:pPr>
      <w:spacing w:before="240" w:after="60"/>
      <w:outlineLvl w:val="2"/>
    </w:pPr>
    <w:rPr>
      <w:rFonts w:ascii="Arial" w:hAnsi="Arial"/>
      <w:sz w:val="24"/>
      <w:szCs w:val="24"/>
    </w:rPr>
  </w:style>
  <w:style w:type="paragraph" w:styleId="Heading4">
    <w:name w:val="heading 4"/>
    <w:basedOn w:val="Normal"/>
    <w:next w:val="Normal"/>
    <w:link w:val="Heading4Char"/>
    <w:uiPriority w:val="9"/>
    <w:unhideWhenUsed/>
    <w:qFormat/>
    <w:pPr>
      <w:spacing w:before="40"/>
      <w:outlineLvl w:val="3"/>
    </w:pPr>
    <w:rPr>
      <w:rFonts w:asciiTheme="majorHAnsi" w:eastAsiaTheme="majorEastAsia" w:hAnsiTheme="majorHAnsi" w:cstheme="majorBidi"/>
      <w: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18"/>
    <w:qFormat/>
    <w:rPr>
      <w:i/>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customStyle="1" w:styleId="heading">
    <w:name w:val="heading"/>
    <w:basedOn w:val="DefaultParagraphFont"/>
  </w:style>
  <w:style w:type="character" w:customStyle="1" w:styleId="num">
    <w:name w:val="num"/>
    <w:basedOn w:val="DefaultParagraphFont"/>
  </w:style>
  <w:style w:type="paragraph" w:customStyle="1" w:styleId="active">
    <w:name w:val="active"/>
    <w:basedOn w:val="Normal"/>
    <w:pPr>
      <w:spacing w:before="100" w:beforeAutospacing="1" w:after="100" w:afterAutospacing="1"/>
    </w:pPr>
    <w:rPr>
      <w:sz w:val="24"/>
      <w:szCs w:val="24"/>
    </w:rPr>
  </w:style>
  <w:style w:type="character" w:styleId="Hyperlink">
    <w:name w:val="Hyperlink"/>
    <w:basedOn w:val="DefaultParagraphFont"/>
    <w:unhideWhenUsed/>
    <w:rPr>
      <w:color w:val="0000FF"/>
      <w:u w:val="single"/>
    </w:rPr>
  </w:style>
  <w:style w:type="character" w:customStyle="1" w:styleId="Heading4Char">
    <w:name w:val="Heading 4 Char"/>
    <w:basedOn w:val="DefaultParagraphFont"/>
    <w:link w:val="Heading4"/>
    <w:rPr>
      <w:rFonts w:asciiTheme="majorHAnsi" w:eastAsiaTheme="majorEastAsia" w:hAnsiTheme="majorHAnsi" w:cstheme="majorBidi"/>
      <w:i/>
      <w:color w:val="365F91" w:themeColor="accent1" w:themeShade="BF"/>
    </w:rPr>
  </w:style>
  <w:style w:type="paragraph" w:customStyle="1" w:styleId="statutory-body">
    <w:name w:val="statutory-body"/>
    <w:basedOn w:val="Normal"/>
    <w:pPr>
      <w:spacing w:before="100" w:beforeAutospacing="1" w:after="100" w:afterAutospacing="1"/>
    </w:pPr>
    <w:rPr>
      <w:sz w:val="24"/>
      <w:szCs w:val="24"/>
    </w:rPr>
  </w:style>
  <w:style w:type="paragraph" w:customStyle="1" w:styleId="statutory-body-1em">
    <w:name w:val="statutory-body-1em"/>
    <w:basedOn w:val="Normal"/>
    <w:pPr>
      <w:spacing w:before="100" w:beforeAutospacing="1" w:after="100" w:afterAutospacing="1"/>
    </w:pPr>
    <w:rPr>
      <w:sz w:val="24"/>
      <w:szCs w:val="24"/>
    </w:rPr>
  </w:style>
  <w:style w:type="character" w:styleId="UnresolvedMention">
    <w:name w:val="Unresolved Mention"/>
    <w:basedOn w:val="DefaultParagraphFont"/>
    <w:semiHidden/>
    <w:unhideWhenUsed/>
    <w:rPr>
      <w:color w:val="605E5C"/>
      <w:shd w:val="clear" w:color="000000" w:fill="E1DFDD"/>
    </w:rPr>
  </w:style>
  <w:style w:type="paragraph" w:styleId="BalloonText">
    <w:name w:val="Balloon Text"/>
    <w:basedOn w:val="Normal"/>
    <w:link w:val="BalloonTextChar"/>
    <w:semiHidden/>
    <w:unhideWhenUsed/>
    <w:rPr>
      <w:rFonts w:ascii="Segoe UI" w:hAnsi="Segoe UI" w:cs="Segoe UI"/>
      <w:sz w:val="18"/>
      <w:szCs w:val="18"/>
    </w:rPr>
  </w:style>
  <w:style w:type="character" w:customStyle="1" w:styleId="BalloonTextChar">
    <w:name w:val="Balloon Text Char"/>
    <w:basedOn w:val="DefaultParagraphFont"/>
    <w:link w:val="BalloonText"/>
    <w:semiHidden/>
    <w:rPr>
      <w:rFonts w:ascii="Segoe UI" w:hAnsi="Segoe UI" w:cs="Segoe UI"/>
      <w:sz w:val="18"/>
      <w:szCs w:val="18"/>
    </w:rPr>
  </w:style>
  <w:style w:type="paragraph" w:styleId="FootnoteText">
    <w:name w:val="footnote text"/>
    <w:basedOn w:val="Normal"/>
    <w:link w:val="FootnoteTextChar"/>
    <w:semiHidden/>
    <w:unhideWhenUsed/>
  </w:style>
  <w:style w:type="character" w:customStyle="1" w:styleId="FootnoteTextChar">
    <w:name w:val="Footnote Text Char"/>
    <w:basedOn w:val="DefaultParagraphFont"/>
    <w:link w:val="FootnoteText"/>
    <w:semiHidden/>
  </w:style>
  <w:style w:type="character" w:styleId="FootnoteReference">
    <w:name w:val="footnote reference"/>
    <w:basedOn w:val="DefaultParagraphFont"/>
    <w:semiHidden/>
    <w:unhideWhenUsed/>
    <w:rPr>
      <w:vertAlign w:val="superscript"/>
    </w:rPr>
  </w:style>
  <w:style w:type="paragraph" w:customStyle="1" w:styleId="incr1">
    <w:name w:val="incr1"/>
    <w:basedOn w:val="Normal"/>
    <w:pPr>
      <w:spacing w:before="100" w:beforeAutospacing="1" w:after="100" w:afterAutospacing="1"/>
    </w:pPr>
    <w:rPr>
      <w:sz w:val="24"/>
      <w:szCs w:val="24"/>
    </w:rPr>
  </w:style>
  <w:style w:type="paragraph" w:customStyle="1" w:styleId="content2">
    <w:name w:val="content2"/>
    <w:basedOn w:val="Normal"/>
    <w:pPr>
      <w:spacing w:before="100" w:beforeAutospacing="1" w:after="100" w:afterAutospacing="1"/>
    </w:pPr>
    <w:rPr>
      <w:sz w:val="24"/>
      <w:szCs w:val="24"/>
    </w:rPr>
  </w:style>
  <w:style w:type="character" w:customStyle="1" w:styleId="ulsingle">
    <w:name w:val="ulsingle"/>
    <w:basedOn w:val="DefaultParagraphFont"/>
  </w:style>
  <w:style w:type="paragraph" w:styleId="Header">
    <w:name w:val="header"/>
    <w:basedOn w:val="Normal"/>
    <w:link w:val="HeaderChar"/>
    <w:uiPriority w:val="99"/>
    <w:unhideWhenUsed/>
    <w:rsid w:val="00142349"/>
    <w:pPr>
      <w:tabs>
        <w:tab w:val="center" w:pos="4680"/>
        <w:tab w:val="right" w:pos="9360"/>
      </w:tabs>
    </w:pPr>
  </w:style>
  <w:style w:type="character" w:customStyle="1" w:styleId="HeaderChar">
    <w:name w:val="Header Char"/>
    <w:basedOn w:val="DefaultParagraphFont"/>
    <w:link w:val="Header"/>
    <w:uiPriority w:val="99"/>
    <w:rsid w:val="00142349"/>
  </w:style>
  <w:style w:type="paragraph" w:styleId="Revision">
    <w:name w:val="Revision"/>
    <w:hidden/>
    <w:uiPriority w:val="99"/>
    <w:semiHidden/>
    <w:rsid w:val="00142349"/>
  </w:style>
  <w:style w:type="paragraph" w:styleId="BodyText">
    <w:name w:val="Body Text"/>
    <w:basedOn w:val="Normal"/>
    <w:link w:val="BodyTextChar"/>
    <w:uiPriority w:val="1"/>
    <w:qFormat/>
    <w:rsid w:val="00232BE1"/>
    <w:pPr>
      <w:autoSpaceDE w:val="0"/>
      <w:autoSpaceDN w:val="0"/>
      <w:adjustRightInd w:val="0"/>
      <w:ind w:left="40" w:right="1402"/>
      <w:jc w:val="both"/>
    </w:pPr>
    <w:rPr>
      <w:rFonts w:ascii="Century Schoolbook" w:hAnsi="Century Schoolbook" w:cs="Century Schoolbook"/>
      <w:sz w:val="22"/>
      <w:szCs w:val="22"/>
    </w:rPr>
  </w:style>
  <w:style w:type="character" w:customStyle="1" w:styleId="BodyTextChar">
    <w:name w:val="Body Text Char"/>
    <w:basedOn w:val="DefaultParagraphFont"/>
    <w:link w:val="BodyText"/>
    <w:uiPriority w:val="1"/>
    <w:rsid w:val="00232BE1"/>
    <w:rPr>
      <w:rFonts w:ascii="Century Schoolbook" w:hAnsi="Century Schoolbook" w:cs="Century Schoolbook"/>
      <w:sz w:val="22"/>
      <w:szCs w:val="22"/>
    </w:rPr>
  </w:style>
  <w:style w:type="paragraph" w:customStyle="1" w:styleId="Default">
    <w:name w:val="Default"/>
    <w:rsid w:val="006C3E80"/>
    <w:pPr>
      <w:autoSpaceDE w:val="0"/>
      <w:autoSpaceDN w:val="0"/>
      <w:adjustRightInd w:val="0"/>
    </w:pPr>
    <w:rPr>
      <w:rFonts w:ascii="Century Schoolbook" w:hAnsi="Century Schoolbook" w:cs="Century Schoolbook"/>
      <w:color w:val="000000"/>
      <w:sz w:val="24"/>
      <w:szCs w:val="24"/>
    </w:rPr>
  </w:style>
  <w:style w:type="character" w:customStyle="1" w:styleId="qsnumsubdnum">
    <w:name w:val="qs_num_subdnum_"/>
    <w:basedOn w:val="DefaultParagraphFont"/>
    <w:rsid w:val="001612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upreme.justia.com/cases/federal/us/494/872/case.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library.municode.com/wi/madison/codes/code_of_ordinances?nodeId=COORMAWIVOIICH20--31_CH23OFAGPUPO_23.20RECOCA" TargetMode="External"/><Relationship Id="rId1" Type="http://schemas.openxmlformats.org/officeDocument/2006/relationships/hyperlink" Target="https://www.deadiversion.usdoj.gov/GDP/(DEA-DC-5)%20Guidance%20Regarding%20Petitions%20for%20Religious%20Exemption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336E09-14EE-4E7A-87BD-C3D54354C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3261</Words>
  <Characters>18591</Characters>
  <Application>Microsoft Office Word</Application>
  <DocSecurity>0</DocSecurity>
  <Lines>154</Lines>
  <Paragraphs>43</Paragraphs>
  <MMClips>0</MMClip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MasterWordTemplate</vt:lpstr>
      <vt:lpstr>Title text</vt:lpstr>
    </vt:vector>
  </TitlesOfParts>
  <Company>Gavel &amp; Gown Software</Company>
  <LinksUpToDate>false</LinksUpToDate>
  <CharactersWithSpaces>21809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MasterWordTemplate</dc:title>
  <dc:creator>Chris Cardinal</dc:creator>
  <cp:lastModifiedBy>Anthony Delyea</cp:lastModifiedBy>
  <cp:revision>3</cp:revision>
  <dcterms:created xsi:type="dcterms:W3CDTF">2021-07-01T05:00:00Z</dcterms:created>
  <dcterms:modified xsi:type="dcterms:W3CDTF">2021-07-01T05:00:00Z</dcterms:modified>
</cp:coreProperties>
</file>