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B4740" w14:textId="3425BE75" w:rsidR="0028621E" w:rsidRPr="00610058" w:rsidRDefault="0028621E" w:rsidP="00202A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6100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EXHIBIT </w:t>
      </w:r>
      <w:r w:rsidR="003F20D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</w:t>
      </w:r>
    </w:p>
    <w:p w14:paraId="52A94621" w14:textId="77777777" w:rsidR="0028621E" w:rsidRPr="00610058" w:rsidRDefault="0028621E" w:rsidP="00202A7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1CAE610" w14:textId="281BD7A1" w:rsidR="00A12C31" w:rsidRDefault="00E477A0" w:rsidP="00202A7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2023 HHS Ruling</w:t>
      </w:r>
      <w:r w:rsidR="000E6C95">
        <w:rPr>
          <w:rFonts w:ascii="Times New Roman" w:hAnsi="Times New Roman" w:cs="Times New Roman"/>
          <w:kern w:val="0"/>
          <w14:ligatures w14:val="none"/>
        </w:rPr>
        <w:t xml:space="preserve"> </w:t>
      </w:r>
    </w:p>
    <w:p w14:paraId="7F545B37" w14:textId="2D13204D" w:rsidR="0028621E" w:rsidRPr="00610058" w:rsidRDefault="0028621E" w:rsidP="00202A7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10058">
        <w:rPr>
          <w:rFonts w:ascii="Times New Roman" w:hAnsi="Times New Roman" w:cs="Times New Roman"/>
          <w:kern w:val="0"/>
          <w14:ligatures w14:val="none"/>
        </w:rPr>
        <w:t>Petitioner: Jason Karimi</w:t>
      </w:r>
    </w:p>
    <w:p w14:paraId="623C59EB" w14:textId="77777777" w:rsidR="0028621E" w:rsidRPr="00610058" w:rsidRDefault="0028621E" w:rsidP="00202A7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10058">
        <w:rPr>
          <w:rFonts w:ascii="Times New Roman" w:hAnsi="Times New Roman" w:cs="Times New Roman"/>
          <w:kern w:val="0"/>
          <w14:ligatures w14:val="none"/>
        </w:rPr>
        <w:t xml:space="preserve">Matter: Petition for </w:t>
      </w:r>
      <w:r>
        <w:rPr>
          <w:rFonts w:ascii="Times New Roman" w:hAnsi="Times New Roman" w:cs="Times New Roman"/>
          <w:kern w:val="0"/>
          <w14:ligatures w14:val="none"/>
        </w:rPr>
        <w:t>Declaratory Ruling</w:t>
      </w:r>
      <w:r w:rsidRPr="00610058">
        <w:rPr>
          <w:rFonts w:ascii="Times New Roman" w:hAnsi="Times New Roman" w:cs="Times New Roman"/>
          <w:kern w:val="0"/>
          <w14:ligatures w14:val="none"/>
        </w:rPr>
        <w:t xml:space="preserve"> – Cannabis Scheduling Review</w:t>
      </w:r>
    </w:p>
    <w:p w14:paraId="05F7E6BC" w14:textId="16D7C90C" w:rsidR="00397C27" w:rsidRDefault="0028621E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610058">
        <w:rPr>
          <w:rFonts w:ascii="Times New Roman" w:hAnsi="Times New Roman" w:cs="Times New Roman"/>
          <w:kern w:val="0"/>
          <w14:ligatures w14:val="none"/>
        </w:rPr>
        <w:t xml:space="preserve">Exhibit: </w:t>
      </w:r>
      <w:r w:rsidR="00A12C31">
        <w:rPr>
          <w:rFonts w:ascii="Times New Roman" w:hAnsi="Times New Roman" w:cs="Times New Roman"/>
          <w:kern w:val="0"/>
          <w14:ligatures w14:val="none"/>
        </w:rPr>
        <w:t>F</w:t>
      </w:r>
    </w:p>
    <w:p w14:paraId="002A063D" w14:textId="77777777" w:rsidR="00AD36A8" w:rsidRPr="00AD36A8" w:rsidRDefault="00AD36A8" w:rsidP="00AD36A8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AD36A8">
        <w:rPr>
          <w:rFonts w:ascii="Times New Roman" w:hAnsi="Times New Roman" w:cs="Times New Roman"/>
          <w:b/>
          <w:bCs/>
          <w:kern w:val="0"/>
          <w14:ligatures w14:val="none"/>
        </w:rPr>
        <w:t>Purpose of Exhibit</w:t>
      </w:r>
    </w:p>
    <w:p w14:paraId="6A8C6820" w14:textId="2A020322" w:rsidR="008F633E" w:rsidRDefault="00AD36A8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AD36A8">
        <w:rPr>
          <w:rFonts w:ascii="Times New Roman" w:hAnsi="Times New Roman" w:cs="Times New Roman"/>
          <w:kern w:val="0"/>
          <w14:ligatures w14:val="none"/>
        </w:rPr>
        <w:t xml:space="preserve">This exhibit is submitted to demonstrate that the </w:t>
      </w:r>
      <w:r>
        <w:rPr>
          <w:rFonts w:ascii="Times New Roman" w:hAnsi="Times New Roman" w:cs="Times New Roman"/>
          <w:kern w:val="0"/>
          <w14:ligatures w14:val="none"/>
        </w:rPr>
        <w:t xml:space="preserve">Department of Health and Human Services has determined cannabis no longer meets Schedule One statutory criteria. </w:t>
      </w:r>
    </w:p>
    <w:p w14:paraId="6A338F3B" w14:textId="12E0DC37" w:rsidR="00865213" w:rsidRDefault="00865213" w:rsidP="00865213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65213">
        <w:rPr>
          <w:rFonts w:ascii="Times New Roman" w:hAnsi="Times New Roman" w:cs="Times New Roman"/>
          <w:b/>
          <w:bCs/>
          <w:kern w:val="0"/>
          <w14:ligatures w14:val="none"/>
        </w:rPr>
        <w:t xml:space="preserve">1. </w:t>
      </w:r>
      <w:r>
        <w:rPr>
          <w:rFonts w:ascii="Times New Roman" w:hAnsi="Times New Roman" w:cs="Times New Roman"/>
          <w:b/>
          <w:bCs/>
          <w:kern w:val="0"/>
          <w14:ligatures w14:val="none"/>
        </w:rPr>
        <w:t>Summary Of 2023 HHS Rulin</w:t>
      </w:r>
      <w:r w:rsidR="0035508D">
        <w:rPr>
          <w:rFonts w:ascii="Times New Roman" w:hAnsi="Times New Roman" w:cs="Times New Roman"/>
          <w:b/>
          <w:bCs/>
          <w:kern w:val="0"/>
          <w14:ligatures w14:val="none"/>
        </w:rPr>
        <w:t xml:space="preserve">g And Full 252 Page Ruling </w:t>
      </w:r>
    </w:p>
    <w:p w14:paraId="141D34F5" w14:textId="33BC4330" w:rsidR="00F13F80" w:rsidRPr="00F13F80" w:rsidRDefault="00F13F80" w:rsidP="00F13F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13F8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Summary of Key Conclusions </w:t>
      </w:r>
    </w:p>
    <w:p w14:paraId="3F8551B4" w14:textId="77777777" w:rsidR="00F13F80" w:rsidRPr="00F13F80" w:rsidRDefault="00F13F80" w:rsidP="00F13F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13F80">
        <w:rPr>
          <w:rFonts w:ascii="Times New Roman" w:hAnsi="Times New Roman" w:cs="Times New Roman"/>
          <w:kern w:val="0"/>
          <w14:ligatures w14:val="none"/>
        </w:rPr>
        <w:t xml:space="preserve">HHS’s bottom-line recommendation: marijuana should be controlled in Schedule III of the CSA.  </w:t>
      </w:r>
    </w:p>
    <w:p w14:paraId="789C30CB" w14:textId="77777777" w:rsidR="00F13F80" w:rsidRPr="00F13F80" w:rsidRDefault="00F13F80" w:rsidP="00F13F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13F80">
        <w:rPr>
          <w:rFonts w:ascii="Times New Roman" w:hAnsi="Times New Roman" w:cs="Times New Roman"/>
          <w:kern w:val="0"/>
          <w14:ligatures w14:val="none"/>
        </w:rPr>
        <w:t xml:space="preserve">Eight-factor scheduling context: the HHS cover letter explicitly states FDA’s recommendation was made “upon consideration of the eight factors” under 21 U.S.C. § 811(c).  </w:t>
      </w:r>
    </w:p>
    <w:p w14:paraId="1B08C3C0" w14:textId="77777777" w:rsidR="00F13F80" w:rsidRPr="00F13F80" w:rsidRDefault="00F13F80" w:rsidP="00F13F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13F80">
        <w:rPr>
          <w:rFonts w:ascii="Times New Roman" w:hAnsi="Times New Roman" w:cs="Times New Roman"/>
          <w:kern w:val="0"/>
          <w14:ligatures w14:val="none"/>
        </w:rPr>
        <w:t xml:space="preserve">CAMU was determined using a different method (not the 8 factors): the report explains a two-part test used to determine whether marijuana has a “currently accepted medical use” for scheduling purposes (Part 1 + Part 2).  </w:t>
      </w:r>
    </w:p>
    <w:p w14:paraId="1618D418" w14:textId="71145A46" w:rsidR="00F13F80" w:rsidRPr="008678F3" w:rsidRDefault="00F13F80" w:rsidP="00EE78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F13F80">
        <w:rPr>
          <w:rFonts w:ascii="Times New Roman" w:hAnsi="Times New Roman" w:cs="Times New Roman"/>
          <w:kern w:val="0"/>
          <w14:ligatures w14:val="none"/>
        </w:rPr>
        <w:t xml:space="preserve">Part 2 CAMU analysis: FDA evaluated whether there exists “some credible scientific support” for at least one medical use and describes the evidence sources used.  </w:t>
      </w:r>
    </w:p>
    <w:p w14:paraId="45FA667F" w14:textId="580A16C8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CAMU Determination (Two-Part Test)</w:t>
      </w:r>
    </w:p>
    <w:p w14:paraId="323AFEE3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HHS applied a revised two-part inquiry for CAMU, differing from prior evaluations (e.g., 2015), to account for widespread state-authorized medical use:</w:t>
      </w:r>
    </w:p>
    <w:p w14:paraId="1C5121C2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•  Part 1 (OASH): Assesses if there is “widespread current experience with medical use” by licensed healthcare providers (HCPs) under state programs recognized by medical regulatory entities. Evidence from 38 states/DC shows &gt;3.4 million registered patients (2022 data), with HCPs recommending marijuana for conditions like pain, nausea, and PTSD. This meets the threshold.</w:t>
      </w:r>
    </w:p>
    <w:p w14:paraId="6F88DA67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•  Part 2 (FDA): Evaluates if there is “some credible scientific support” for at least one medical use from Part 1. FDA reviewed seven indications (anorexia, anxiety, epilepsy, IBD, nausea/vomiting, pain, PTSD) using:</w:t>
      </w:r>
    </w:p>
    <w:p w14:paraId="702F93D5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ab/>
        <w:t>•  Systematic reviews/meta-analyses (e.g., NASEM 2017, AHRQ 2023).</w:t>
      </w:r>
    </w:p>
    <w:p w14:paraId="6C473A4D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ab/>
        <w:t>•  Position statements from medical societies (e.g., AAN, AES).</w:t>
      </w:r>
    </w:p>
    <w:p w14:paraId="039499C8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ab/>
        <w:t>•  State program data (e.g., Maryland MMCPS, ICPS).</w:t>
      </w:r>
    </w:p>
    <w:p w14:paraId="76DC403B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ab/>
        <w:t xml:space="preserve">•  FDA-approved product labels (e.g., </w:t>
      </w:r>
      <w:proofErr w:type="spellStart"/>
      <w:r w:rsidRPr="00EE780A">
        <w:rPr>
          <w:rFonts w:ascii="Times New Roman" w:hAnsi="Times New Roman" w:cs="Times New Roman"/>
          <w:kern w:val="0"/>
          <w14:ligatures w14:val="none"/>
        </w:rPr>
        <w:t>Marinol</w:t>
      </w:r>
      <w:proofErr w:type="spellEnd"/>
      <w:r w:rsidRPr="00EE780A">
        <w:rPr>
          <w:rFonts w:ascii="Times New Roman" w:hAnsi="Times New Roman" w:cs="Times New Roman"/>
          <w:kern w:val="0"/>
          <w14:ligatures w14:val="none"/>
        </w:rPr>
        <w:t xml:space="preserve"> for nausea/anorexia).</w:t>
      </w:r>
    </w:p>
    <w:p w14:paraId="7A990892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ab/>
        <w:t>•  Conclusions: Substantial evidence for nausea/vomiting and pain; moderate for anorexia and anxiety; limited/mixed for others. Overall, “some credible scientific support” exists, supporting CAMU.</w:t>
      </w:r>
    </w:p>
    <w:p w14:paraId="5BEAD3E1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Additional Notes</w:t>
      </w:r>
    </w:p>
    <w:p w14:paraId="5ACF4EE8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•  International Obligations: Notes potential DEA action under 21 U.S.C. § 811(d)(1) due to Single Convention obligations, but focuses on domestic CSA criteria.</w:t>
      </w:r>
    </w:p>
    <w:p w14:paraId="5E12F0E6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•  Limitations: No FDA-approved NDA for botanical marijuana; evaluation is not exhaustive but responsive to the eight factors. Epidemiological comparators provide relative context, not absolute safety.</w:t>
      </w:r>
    </w:p>
    <w:p w14:paraId="17B0807F" w14:textId="77777777" w:rsidR="00EE780A" w:rsidRPr="00EE780A" w:rsidRDefault="00EE780A" w:rsidP="00EE780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•  Concurrence: NIDA reviewed and concurs with FDA’s findings.</w:t>
      </w:r>
    </w:p>
    <w:p w14:paraId="3FEA5717" w14:textId="52CC1AF3" w:rsidR="00EE780A" w:rsidRDefault="00EE780A" w:rsidP="00865213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EE780A">
        <w:rPr>
          <w:rFonts w:ascii="Times New Roman" w:hAnsi="Times New Roman" w:cs="Times New Roman"/>
          <w:kern w:val="0"/>
          <w14:ligatures w14:val="none"/>
        </w:rPr>
        <w:t>This evaluation supports rescheduling but does not approve marijuana for marketing or alter state laws</w:t>
      </w:r>
      <w:r>
        <w:rPr>
          <w:rFonts w:ascii="Times New Roman" w:hAnsi="Times New Roman" w:cs="Times New Roman"/>
          <w:kern w:val="0"/>
          <w14:ligatures w14:val="none"/>
        </w:rPr>
        <w:t>.</w:t>
      </w:r>
    </w:p>
    <w:p w14:paraId="64E2FEA9" w14:textId="77777777" w:rsidR="00EE780A" w:rsidRPr="00EE780A" w:rsidRDefault="00EE780A" w:rsidP="00865213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D2E470B" w14:textId="6B9CF6DD" w:rsidR="00AD36A8" w:rsidRDefault="00AD36A8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0955C80" w14:textId="77777777" w:rsidR="00111FAB" w:rsidRDefault="00111FAB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8233C7D" w14:textId="6EB961E7" w:rsidR="00111FAB" w:rsidRDefault="00111FAB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Full 252 page ruling available at</w:t>
      </w:r>
      <w:r w:rsidR="003D507D">
        <w:rPr>
          <w:rFonts w:ascii="Times New Roman" w:hAnsi="Times New Roman" w:cs="Times New Roman"/>
          <w:kern w:val="0"/>
          <w14:ligatures w14:val="none"/>
        </w:rPr>
        <w:t xml:space="preserve">: </w:t>
      </w:r>
      <w:r>
        <w:rPr>
          <w:rFonts w:ascii="Times New Roman" w:hAnsi="Times New Roman" w:cs="Times New Roman"/>
          <w:kern w:val="0"/>
          <w14:ligatures w14:val="none"/>
        </w:rPr>
        <w:t xml:space="preserve"> </w:t>
      </w:r>
      <w:hyperlink r:id="rId5" w:history="1">
        <w:r w:rsidR="00796293" w:rsidRPr="00EA20D3">
          <w:rPr>
            <w:rStyle w:val="Hyperlink"/>
            <w:rFonts w:ascii="Times New Roman" w:hAnsi="Times New Roman" w:cs="Times New Roman"/>
            <w:kern w:val="0"/>
            <w14:ligatures w14:val="none"/>
          </w:rPr>
          <w:t>https://www.hhs.gov/sites/default/files/scheduling-recommendation.pdf</w:t>
        </w:r>
      </w:hyperlink>
    </w:p>
    <w:p w14:paraId="08B275D4" w14:textId="77777777" w:rsidR="00796293" w:rsidRPr="008F633E" w:rsidRDefault="00796293" w:rsidP="008F633E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sectPr w:rsidR="00796293" w:rsidRPr="008F6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32128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9832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21E"/>
    <w:rsid w:val="000E6C95"/>
    <w:rsid w:val="000F729C"/>
    <w:rsid w:val="00111FAB"/>
    <w:rsid w:val="0028621E"/>
    <w:rsid w:val="0035508D"/>
    <w:rsid w:val="00397C27"/>
    <w:rsid w:val="003D507D"/>
    <w:rsid w:val="003F20D3"/>
    <w:rsid w:val="00796293"/>
    <w:rsid w:val="00865213"/>
    <w:rsid w:val="008678F3"/>
    <w:rsid w:val="008F633E"/>
    <w:rsid w:val="00A12C31"/>
    <w:rsid w:val="00AD36A8"/>
    <w:rsid w:val="00E477A0"/>
    <w:rsid w:val="00EE780A"/>
    <w:rsid w:val="00F1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C6366C"/>
  <w15:chartTrackingRefBased/>
  <w15:docId w15:val="{20B3E9C4-632C-0E4A-A98A-C5EA953A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6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2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2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2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2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2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2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2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2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2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2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2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62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293"/>
    <w:rPr>
      <w:color w:val="605E5C"/>
      <w:shd w:val="clear" w:color="auto" w:fill="E1DFDD"/>
    </w:rPr>
  </w:style>
  <w:style w:type="paragraph" w:customStyle="1" w:styleId="p1">
    <w:name w:val="p1"/>
    <w:basedOn w:val="Normal"/>
    <w:rsid w:val="00F13F8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F13F80"/>
  </w:style>
  <w:style w:type="character" w:customStyle="1" w:styleId="s2">
    <w:name w:val="s2"/>
    <w:basedOn w:val="DefaultParagraphFont"/>
    <w:rsid w:val="00F13F80"/>
  </w:style>
  <w:style w:type="character" w:customStyle="1" w:styleId="apple-converted-space">
    <w:name w:val="apple-converted-space"/>
    <w:basedOn w:val="DefaultParagraphFont"/>
    <w:rsid w:val="00F13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hhs.gov/sites/default/files/scheduling-recommendatio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dcterms:created xsi:type="dcterms:W3CDTF">2026-02-16T18:15:00Z</dcterms:created>
  <dcterms:modified xsi:type="dcterms:W3CDTF">2026-02-16T18:15:00Z</dcterms:modified>
</cp:coreProperties>
</file>