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BAAF4" w14:textId="77777777" w:rsidR="005C442E" w:rsidRPr="005C442E" w:rsidRDefault="005C442E" w:rsidP="005C442E">
      <w:pPr>
        <w:rPr>
          <w:b/>
          <w:bCs/>
        </w:rPr>
      </w:pPr>
      <w:r w:rsidRPr="005C442E">
        <w:rPr>
          <w:b/>
          <w:bCs/>
        </w:rPr>
        <w:t>EXHIBIT G</w:t>
      </w:r>
    </w:p>
    <w:p w14:paraId="30AA36BF" w14:textId="77777777" w:rsidR="005C442E" w:rsidRDefault="005C442E" w:rsidP="005C442E"/>
    <w:p w14:paraId="0D030AA4" w14:textId="77777777" w:rsidR="005C442E" w:rsidRDefault="005C442E" w:rsidP="005C442E">
      <w:r>
        <w:t>Emerging Federal Standard for “Currently Accepted Medical Use” Under the Controlled Substances Act</w:t>
      </w:r>
    </w:p>
    <w:p w14:paraId="48BBF378" w14:textId="77777777" w:rsidR="005C442E" w:rsidRDefault="005C442E" w:rsidP="005C442E"/>
    <w:p w14:paraId="6D781DC7" w14:textId="77777777" w:rsidR="005C442E" w:rsidRDefault="005C442E" w:rsidP="005C442E">
      <w:r>
        <w:t>Petitioner: Jason Karimi</w:t>
      </w:r>
    </w:p>
    <w:p w14:paraId="341B5DAB" w14:textId="77777777" w:rsidR="005C442E" w:rsidRDefault="005C442E" w:rsidP="005C442E">
      <w:r>
        <w:t>Matter: Petition for Declaratory Ruling – Cannabis Scheduling Review</w:t>
      </w:r>
    </w:p>
    <w:p w14:paraId="18E54510" w14:textId="77777777" w:rsidR="005C442E" w:rsidRDefault="005C442E" w:rsidP="005C442E">
      <w:r>
        <w:t>Exhibit: G</w:t>
      </w:r>
    </w:p>
    <w:p w14:paraId="04128016" w14:textId="6E6B6C79" w:rsidR="005C442E" w:rsidRDefault="005C442E" w:rsidP="005C442E"/>
    <w:p w14:paraId="54C881DD" w14:textId="77777777" w:rsidR="005C442E" w:rsidRDefault="005C442E" w:rsidP="005C442E">
      <w:r>
        <w:t>Purpose of Exhibit</w:t>
      </w:r>
    </w:p>
    <w:p w14:paraId="2B2AEC21" w14:textId="77777777" w:rsidR="005C442E" w:rsidRDefault="005C442E" w:rsidP="005C442E"/>
    <w:p w14:paraId="3B1F7F6F" w14:textId="3171C330" w:rsidR="005C442E" w:rsidRDefault="005C442E" w:rsidP="005C442E">
      <w:r>
        <w:t>This exhibit documents the development and federal adoption of a clarified two-part analytical framework for determining “currently accepted medical use” (CAMU) under the Controlled Substances Act (CSA), and demonstrates its recognition in Department of Justice and Drug Enforcement Administration rulemaking materials.</w:t>
      </w:r>
    </w:p>
    <w:p w14:paraId="40EE741B" w14:textId="1E69055B" w:rsidR="005C442E" w:rsidRDefault="005C442E" w:rsidP="005C442E">
      <w:r>
        <w:t>This exhibit should be read in conjunction with Exhibit E, which summarizes the 2023 HHS scientific and medical evaluation recommending rescheduling of marijuana. Exhibit E establishes the underlying medical determination; Exhibit G documents the legal standard through which that determination has been recognized as legally sufficient under the CSA. Together, they form a unified record demonstrating that the federal executive branch has both (1) concluded marijuana satisfies accepted medical use criteria and (2) articulated the governing analytical framework under which that conclusion is legally operative.</w:t>
      </w:r>
    </w:p>
    <w:p w14:paraId="16E8FFE9" w14:textId="77777777" w:rsidR="005C442E" w:rsidRDefault="005C442E" w:rsidP="005C442E">
      <w:r>
        <w:t>This development bears directly on statutory criteria mirrored in SDCL 34-20B-11.</w:t>
      </w:r>
    </w:p>
    <w:p w14:paraId="6755617B" w14:textId="17B1CA5A" w:rsidR="005C442E" w:rsidRDefault="005C442E" w:rsidP="005C442E"/>
    <w:p w14:paraId="2715D1D9" w14:textId="42CD462F" w:rsidR="005C442E" w:rsidRDefault="005C442E" w:rsidP="005C442E">
      <w:r>
        <w:t>I. Background: Traditional CAMU Standards</w:t>
      </w:r>
    </w:p>
    <w:p w14:paraId="20B99A0F" w14:textId="77777777" w:rsidR="00D848F2" w:rsidRDefault="00D848F2" w:rsidP="005C442E"/>
    <w:p w14:paraId="70126204" w14:textId="24D74AE0" w:rsidR="005C442E" w:rsidRDefault="005C442E" w:rsidP="005C442E">
      <w:r>
        <w:t>The CSA requires that a substance may not remain in Schedule I if it has a “currently accepted medical use in treatment in the United States.”</w:t>
      </w:r>
    </w:p>
    <w:p w14:paraId="22A6C501" w14:textId="6A30759A" w:rsidR="005C442E" w:rsidRDefault="005C442E" w:rsidP="005C442E">
      <w:r>
        <w:t>Historically, CAMU has been evaluated under two principal approaches:</w:t>
      </w:r>
    </w:p>
    <w:p w14:paraId="2974C8FE" w14:textId="08B50326" w:rsidR="005C442E" w:rsidRDefault="005C442E" w:rsidP="005C442E">
      <w:r>
        <w:t>1. FDA Approval</w:t>
      </w:r>
    </w:p>
    <w:p w14:paraId="026F7038" w14:textId="081A1882" w:rsidR="005C442E" w:rsidRDefault="005C442E" w:rsidP="005C442E">
      <w:r>
        <w:t>If a substance has been formally approved by the U.S. Food and Drug Administration, it is treated as satisfying CAMU.</w:t>
      </w:r>
    </w:p>
    <w:p w14:paraId="51776E75" w14:textId="68F4BAB2" w:rsidR="005C442E" w:rsidRDefault="005C442E" w:rsidP="005C442E">
      <w:r>
        <w:t>2. DEA’s Traditional Five-Part Test</w:t>
      </w:r>
    </w:p>
    <w:p w14:paraId="6DD55C59" w14:textId="77777777" w:rsidR="005C442E" w:rsidRDefault="005C442E" w:rsidP="005C442E">
      <w:r>
        <w:t>Where no FDA approval exists, DEA historically required satisfaction of a five-factor test:</w:t>
      </w:r>
    </w:p>
    <w:p w14:paraId="2D44C2C3" w14:textId="77777777" w:rsidR="005C442E" w:rsidRDefault="005C442E" w:rsidP="005C442E">
      <w:r>
        <w:tab/>
        <w:t>1.</w:t>
      </w:r>
      <w:r>
        <w:tab/>
        <w:t>Known and reproducible chemistry</w:t>
      </w:r>
    </w:p>
    <w:p w14:paraId="41F0730E" w14:textId="77777777" w:rsidR="005C442E" w:rsidRDefault="005C442E" w:rsidP="005C442E">
      <w:r>
        <w:tab/>
        <w:t>2.</w:t>
      </w:r>
      <w:r>
        <w:tab/>
        <w:t>Adequate safety studies</w:t>
      </w:r>
    </w:p>
    <w:p w14:paraId="407AAD1D" w14:textId="77777777" w:rsidR="005C442E" w:rsidRDefault="005C442E" w:rsidP="005C442E">
      <w:r>
        <w:tab/>
        <w:t>3.</w:t>
      </w:r>
      <w:r>
        <w:tab/>
        <w:t>Adequate and well-controlled efficacy studies</w:t>
      </w:r>
    </w:p>
    <w:p w14:paraId="3D5000E2" w14:textId="77777777" w:rsidR="005C442E" w:rsidRDefault="005C442E" w:rsidP="005C442E">
      <w:r>
        <w:tab/>
        <w:t>4.</w:t>
      </w:r>
      <w:r>
        <w:tab/>
        <w:t>Widespread acceptance among experts</w:t>
      </w:r>
    </w:p>
    <w:p w14:paraId="2031728F" w14:textId="4161EA0D" w:rsidR="005C442E" w:rsidRDefault="005C442E" w:rsidP="005C442E">
      <w:r>
        <w:tab/>
        <w:t>5.</w:t>
      </w:r>
      <w:r>
        <w:tab/>
        <w:t>Widely available scientific evidence</w:t>
      </w:r>
    </w:p>
    <w:p w14:paraId="24049817" w14:textId="77777777" w:rsidR="005C442E" w:rsidRDefault="005C442E" w:rsidP="005C442E">
      <w:r>
        <w:t>This standard has proven difficult for non-FDA-approved substances to meet.</w:t>
      </w:r>
    </w:p>
    <w:p w14:paraId="4B690EFF" w14:textId="7EBB06E1" w:rsidR="005C442E" w:rsidRDefault="005C442E" w:rsidP="005C442E"/>
    <w:p w14:paraId="18712B20" w14:textId="77777777" w:rsidR="005C442E" w:rsidRDefault="005C442E" w:rsidP="005C442E">
      <w:r>
        <w:t>II. HHS’s Two-Part Test (2023)</w:t>
      </w:r>
    </w:p>
    <w:p w14:paraId="48901FF9" w14:textId="77777777" w:rsidR="005C442E" w:rsidRDefault="005C442E" w:rsidP="005C442E"/>
    <w:p w14:paraId="717BB88D" w14:textId="4BBF16D2" w:rsidR="005C442E" w:rsidRDefault="005C442E" w:rsidP="005C442E">
      <w:r>
        <w:t>In August 2023, the Department of Health and Human Services (HHS) recommended that marijuana be rescheduled from Schedule I to Schedule III and, in doing so, articulated and applied a revised two-part inquiry for determining CAMU under the CSA.</w:t>
      </w:r>
    </w:p>
    <w:p w14:paraId="3263F72E" w14:textId="77777777" w:rsidR="005C442E" w:rsidRDefault="005C442E" w:rsidP="005C442E">
      <w:r>
        <w:t>Under that inquiry:</w:t>
      </w:r>
    </w:p>
    <w:p w14:paraId="400E6039" w14:textId="77777777" w:rsidR="005C442E" w:rsidRDefault="005C442E" w:rsidP="005C442E">
      <w:r>
        <w:tab/>
        <w:t>1.</w:t>
      </w:r>
      <w:r>
        <w:tab/>
        <w:t>There must be widespread current experience with medical use of the drug by licensed health care providers operating under implemented jurisdiction-authorized programs; and</w:t>
      </w:r>
    </w:p>
    <w:p w14:paraId="292A468A" w14:textId="3DA79E41" w:rsidR="005C442E" w:rsidRDefault="005C442E" w:rsidP="005C442E">
      <w:r>
        <w:tab/>
        <w:t>2.</w:t>
      </w:r>
      <w:r>
        <w:tab/>
        <w:t>There must be some credible scientific support for at least one of the medical uses identified under part (1).</w:t>
      </w:r>
    </w:p>
    <w:p w14:paraId="234A2A76" w14:textId="2F219259" w:rsidR="005C442E" w:rsidRDefault="005C442E" w:rsidP="005C442E">
      <w:r>
        <w:t>This represented a material departure from exclusive reliance on FDA approval or DEA’s five-part framework.</w:t>
      </w:r>
    </w:p>
    <w:p w14:paraId="6F4BBF3D" w14:textId="77777777" w:rsidR="005C442E" w:rsidRDefault="005C442E" w:rsidP="005C442E"/>
    <w:p w14:paraId="47F48736" w14:textId="77777777" w:rsidR="005C442E" w:rsidRDefault="005C442E" w:rsidP="005C442E">
      <w:r>
        <w:t>III. Office of Legal Counsel Opinion (April 11, 2024)</w:t>
      </w:r>
    </w:p>
    <w:p w14:paraId="0AF40CCB" w14:textId="77777777" w:rsidR="005C442E" w:rsidRDefault="005C442E" w:rsidP="005C442E"/>
    <w:p w14:paraId="1D0951E7" w14:textId="0E2DBD91" w:rsidR="005C442E" w:rsidRDefault="005C442E" w:rsidP="005C442E">
      <w:r>
        <w:t>On April 11, 2024, the Department of Justice Office of Legal Counsel (OLC) issued a formal opinion addressing whether satisfaction of HHS’s two-part inquiry is legally sufficient to establish CAMU under the CSA, even in the absence of FDA approval or satisfaction of DEA’s five-part test.¹</w:t>
      </w:r>
    </w:p>
    <w:p w14:paraId="222FE3A9" w14:textId="23949127" w:rsidR="005C442E" w:rsidRDefault="005C442E" w:rsidP="005C442E">
      <w:r>
        <w:t>The OLC concluded:</w:t>
      </w:r>
    </w:p>
    <w:p w14:paraId="2F3A6158" w14:textId="69FA268C" w:rsidR="005C442E" w:rsidRDefault="005C442E" w:rsidP="005C442E">
      <w:r>
        <w:t>“Limiting the CAMU analysis to whether a drug has been approved by FDA or meets DEA’s five-part test is impermissibly narrow. Satisfying HHS’s two-part inquiry is sufficient to establish that a drug has a currently accepted medical use under the CSA.”¹</w:t>
      </w:r>
    </w:p>
    <w:p w14:paraId="5D47F1EE" w14:textId="110512E7" w:rsidR="005C442E" w:rsidRDefault="005C442E" w:rsidP="005C442E">
      <w:r>
        <w:t>The opinion further concluded that HHS’s scientific and medical determinations are binding during the rulemaking process and are entitled to significant deference thereafter.¹</w:t>
      </w:r>
    </w:p>
    <w:p w14:paraId="2C193185" w14:textId="77777777" w:rsidR="005C442E" w:rsidRDefault="005C442E" w:rsidP="005C442E">
      <w:r>
        <w:t>This clarification validated the two-part test as legally adequate under the CSA.</w:t>
      </w:r>
    </w:p>
    <w:p w14:paraId="30D4714B" w14:textId="31731933" w:rsidR="005C442E" w:rsidRDefault="005C442E" w:rsidP="005C442E"/>
    <w:p w14:paraId="045FE710" w14:textId="07415C80" w:rsidR="005C442E" w:rsidRDefault="005C442E" w:rsidP="005C442E">
      <w:r>
        <w:t>IV. DEA Acknowledgment in Federal Register Rulemaking</w:t>
      </w:r>
    </w:p>
    <w:p w14:paraId="4429D0A8" w14:textId="64E971CF" w:rsidR="005C442E" w:rsidRDefault="005C442E" w:rsidP="005C442E">
      <w:r>
        <w:t>DEA subsequently cited and relied upon the OLC opinion in multiple Federal Register notices.</w:t>
      </w:r>
    </w:p>
    <w:p w14:paraId="30E1F3B4" w14:textId="12C9FDFA" w:rsidR="005C442E" w:rsidRDefault="005C442E" w:rsidP="005C442E">
      <w:r>
        <w:t>A. Marijuana Rescheduling NPRM (May 21, 2024)</w:t>
      </w:r>
    </w:p>
    <w:p w14:paraId="5C0250E7" w14:textId="2F5D02AF" w:rsidR="005C442E" w:rsidRDefault="005C442E" w:rsidP="005C442E">
      <w:r>
        <w:t>In its Notice of Proposed Rulemaking to reschedule marijuana to Schedule III, DOJ/DEA stated (in the initiation-stage discussion and CAMU section):</w:t>
      </w:r>
    </w:p>
    <w:p w14:paraId="2DD58267" w14:textId="7B43A1A9" w:rsidR="005C442E" w:rsidRDefault="005C442E" w:rsidP="005C442E">
      <w:r>
        <w:t>“The Attorney General has considered HHS’s recommendations and conclusions and accords HHS’s scientific and medical determinations binding weight until the initiation of the formal rulemaking process… Applying HHS’s two-part test… the Attorney General concurs with HHS’s conclusion… that there is a CAMU for marijuana.”²</w:t>
      </w:r>
    </w:p>
    <w:p w14:paraId="41C7D88C" w14:textId="1E5BE1CC" w:rsidR="005C442E" w:rsidRDefault="005C442E" w:rsidP="005C442E">
      <w:r>
        <w:t>B. Fentanyl-Related Substances Final Rule (Sept. 18, 2025)</w:t>
      </w:r>
    </w:p>
    <w:p w14:paraId="538C893C" w14:textId="2905EE8F" w:rsidR="005C442E" w:rsidRDefault="005C442E" w:rsidP="005C442E">
      <w:r>
        <w:t>In the final rule placing seven specific fentanyl-related substances in Schedule I, DEA recited both the five-part test and HHS’s additional two-part inquiry, and then expressly noted OLC’s conclusion:</w:t>
      </w:r>
    </w:p>
    <w:p w14:paraId="41EDE5B7" w14:textId="0C1842D8" w:rsidR="005C442E" w:rsidRDefault="005C442E" w:rsidP="005C442E">
      <w:r>
        <w:t>“On April 11, 2024, the Department of Justice’s Office of Legal Counsel (OLC) issued an opinion… concluded that HHS’s two-part test would be sufficient to establish that a drug has a currently accepted medical use.”³</w:t>
      </w:r>
    </w:p>
    <w:p w14:paraId="32322AE5" w14:textId="00D3A4B6" w:rsidR="005C442E" w:rsidRDefault="005C442E" w:rsidP="005C442E">
      <w:r>
        <w:t>C. Temporary Scheduling Order (Oct. 15, 2025)</w:t>
      </w:r>
    </w:p>
    <w:p w14:paraId="43BE202A" w14:textId="7231E7C4" w:rsidR="005C442E" w:rsidRDefault="005C442E" w:rsidP="005C442E">
      <w:r>
        <w:t>In a temporary scheduling order for multiple nitazene opioids, DEA again summarized the traditional five-part test and then cited the newer two-part CAMU framework and OLC’s endorsement (in the CAMU discussion footnote):</w:t>
      </w:r>
    </w:p>
    <w:p w14:paraId="373358B4" w14:textId="4963689A" w:rsidR="005C442E" w:rsidRDefault="005C442E" w:rsidP="005C442E">
      <w:r>
        <w:t>DEA explained that, in a recent published letter, HHS applied “an additional two-part test” for CAMU in the absence of FDA approval, and cited OLC’s conclusion that “HHS’s two-part test would be sufficient” to establish CAMU under the CSA.⁴</w:t>
      </w:r>
    </w:p>
    <w:p w14:paraId="46198B48" w14:textId="7E96301E" w:rsidR="005C442E" w:rsidRDefault="005C442E" w:rsidP="005C442E">
      <w:r>
        <w:t>These repeated citations demonstrate that the two-part test has moved from internal agency analysis into the formal regulatory record.</w:t>
      </w:r>
    </w:p>
    <w:p w14:paraId="10D9149A" w14:textId="2E2DE84D" w:rsidR="005C442E" w:rsidRDefault="005C442E" w:rsidP="005C442E"/>
    <w:p w14:paraId="72F8227F" w14:textId="77777777" w:rsidR="005C442E" w:rsidRDefault="005C442E" w:rsidP="005C442E">
      <w:r>
        <w:t>V. Legal Significance</w:t>
      </w:r>
    </w:p>
    <w:p w14:paraId="34505813" w14:textId="77777777" w:rsidR="005C442E" w:rsidRDefault="005C442E" w:rsidP="005C442E"/>
    <w:p w14:paraId="4FC65329" w14:textId="1AC2CA41" w:rsidR="005C442E" w:rsidRDefault="005C442E" w:rsidP="005C442E">
      <w:r>
        <w:t>The federal administrative record now reflects:</w:t>
      </w:r>
    </w:p>
    <w:p w14:paraId="06713386" w14:textId="77777777" w:rsidR="005C442E" w:rsidRDefault="005C442E" w:rsidP="005C442E">
      <w:r>
        <w:t>• OLC’s formal determination that the two-part test is legally sufficient to establish CAMU.</w:t>
      </w:r>
    </w:p>
    <w:p w14:paraId="3FD2572C" w14:textId="77777777" w:rsidR="005C442E" w:rsidRDefault="005C442E" w:rsidP="005C442E">
      <w:r>
        <w:t>• DEA’s acknowledgment that HHS scientific and medical determinations receive binding weight at defined stages of scheduling action, and must receive significant deference throughout rulemaking.²</w:t>
      </w:r>
    </w:p>
    <w:p w14:paraId="24AB7D95" w14:textId="730F04C5" w:rsidR="005C442E" w:rsidRDefault="005C442E" w:rsidP="005C442E">
      <w:r>
        <w:t>• Federal Register notices treating the two-part test as a viable and (per OLC) sufficient analytical pathway.³⁴</w:t>
      </w:r>
    </w:p>
    <w:p w14:paraId="313E5625" w14:textId="77777777" w:rsidR="0009106F" w:rsidRDefault="0009106F" w:rsidP="005C442E"/>
    <w:p w14:paraId="571A0AD6" w14:textId="7B2E2B48" w:rsidR="005C442E" w:rsidRDefault="005C442E" w:rsidP="005C442E">
      <w:r>
        <w:t>At the same time:</w:t>
      </w:r>
    </w:p>
    <w:p w14:paraId="1D1E9407" w14:textId="77777777" w:rsidR="005C442E" w:rsidRDefault="005C442E" w:rsidP="005C442E">
      <w:r>
        <w:t>• No court has yet definitively ruled on whether the two-part test must be treated as binding post-rulemaking in every context.</w:t>
      </w:r>
    </w:p>
    <w:p w14:paraId="582B4A75" w14:textId="4C60DBB0" w:rsidR="005C442E" w:rsidRDefault="005C442E" w:rsidP="005C442E">
      <w:r>
        <w:t>• DEA retains ultimate statutory scheduling authority under the CSA.</w:t>
      </w:r>
    </w:p>
    <w:p w14:paraId="253EEDE7" w14:textId="2AFBD31B" w:rsidR="005C442E" w:rsidRDefault="005C442E" w:rsidP="005C442E">
      <w:r>
        <w:t>However, the OLC opinion places HHS medical/scientific determinations—including those derived from the two-part inquiry—beyond de novo reweighing by DEA during the process, and requires continuing “significant deference.”¹²</w:t>
      </w:r>
    </w:p>
    <w:p w14:paraId="7A397914" w14:textId="77777777" w:rsidR="005C442E" w:rsidRDefault="005C442E" w:rsidP="005C442E"/>
    <w:p w14:paraId="09E6DD05" w14:textId="77777777" w:rsidR="005C442E" w:rsidRDefault="005C442E" w:rsidP="005C442E">
      <w:r>
        <w:t>VI. Relevance to State Statutory Criteria</w:t>
      </w:r>
    </w:p>
    <w:p w14:paraId="78B9B9BE" w14:textId="77777777" w:rsidR="005C442E" w:rsidRDefault="005C442E" w:rsidP="005C442E"/>
    <w:p w14:paraId="0D47B27B" w14:textId="008F0CCF" w:rsidR="005C442E" w:rsidRDefault="005C442E" w:rsidP="005C442E">
      <w:r>
        <w:t>SDCL 34-20B-11 defines Schedule I substances as those having:</w:t>
      </w:r>
    </w:p>
    <w:p w14:paraId="1296DA2D" w14:textId="77777777" w:rsidR="005C442E" w:rsidRDefault="005C442E" w:rsidP="005C442E">
      <w:r>
        <w:t>• No currently accepted medical use in treatment in the United States; and</w:t>
      </w:r>
    </w:p>
    <w:p w14:paraId="6FFB779E" w14:textId="0FEF2234" w:rsidR="005C442E" w:rsidRDefault="005C442E" w:rsidP="005C442E">
      <w:r>
        <w:t>• A lack of accepted safety for use under medical supervision.</w:t>
      </w:r>
    </w:p>
    <w:p w14:paraId="42B2CD3F" w14:textId="4D2FD94F" w:rsidR="005C442E" w:rsidRDefault="005C442E" w:rsidP="005C442E">
      <w:r>
        <w:t>The federal executive branch has now articulated, endorsed, and repeatedly cited a clarified medical-use framework under which marijuana satisfies CAMU for CSA scheduling purposes.</w:t>
      </w:r>
    </w:p>
    <w:p w14:paraId="162A0F07" w14:textId="2B8B7A4D" w:rsidR="005C442E" w:rsidRDefault="005C442E" w:rsidP="005C442E">
      <w:r>
        <w:t>This development presents a material interpretive question regarding continued state Schedule I classification under parallel statutory language.</w:t>
      </w:r>
    </w:p>
    <w:p w14:paraId="668F3497" w14:textId="77777777" w:rsidR="005C442E" w:rsidRDefault="005C442E" w:rsidP="005C442E">
      <w:r>
        <w:t>Where a state statutory definition mirrors federal scheduling criteria, and the federal executive branch has formally recognized a legally sufficient pathway establishing accepted medical use, continued reliance on prior interpretive assumptions may require reasoned explanation grounded in the statutory text. In the absence of such explanation, tension may arise between the operative statutory language and the evolved medical determinations incorporated into the federal administrative record.</w:t>
      </w:r>
    </w:p>
    <w:p w14:paraId="1EE175C6" w14:textId="77777777" w:rsidR="005C442E" w:rsidRDefault="005C442E" w:rsidP="005C442E"/>
    <w:p w14:paraId="4536B6F5" w14:textId="7C57DC03" w:rsidR="005C442E" w:rsidRDefault="005C442E" w:rsidP="005C442E"/>
    <w:p w14:paraId="5F15A387" w14:textId="4565B3C5" w:rsidR="005C442E" w:rsidRDefault="005C442E" w:rsidP="005C442E">
      <w:r>
        <w:t>Footnotes</w:t>
      </w:r>
    </w:p>
    <w:p w14:paraId="1012E165" w14:textId="0D5F8015" w:rsidR="00260BAF" w:rsidRDefault="005C442E" w:rsidP="005C442E">
      <w:r>
        <w:tab/>
        <w:t>1.</w:t>
      </w:r>
      <w:r w:rsidR="00260BAF">
        <w:t xml:space="preserve"> </w:t>
      </w:r>
      <w:r w:rsidR="00260BAF" w:rsidRPr="00260BAF">
        <w:t>Department of Justice, Office of Legal Counsel (2024) Memorandum for the Attorney General, Re: Questions Related to the Potential Rescheduling of Marijuana, 11 April 2024</w:t>
      </w:r>
      <w:r w:rsidR="00F2364C">
        <w:t>, p. 13.</w:t>
      </w:r>
    </w:p>
    <w:p w14:paraId="1F8FD6FB" w14:textId="77777777" w:rsidR="005C442E" w:rsidRDefault="005C442E" w:rsidP="005C442E">
      <w:r>
        <w:tab/>
        <w:t>2.</w:t>
      </w:r>
      <w:r>
        <w:tab/>
        <w:t xml:space="preserve">Department of Justice; Drug Enforcement Administration (2024) Schedules of Controlled Substances: Rescheduling of Marijuana, Notice of Proposed Rulemaking, 89 Fed. Reg. 44597, 44620 (21 May 2024).  </w:t>
      </w:r>
    </w:p>
    <w:p w14:paraId="6C371733" w14:textId="77777777" w:rsidR="005C442E" w:rsidRDefault="005C442E" w:rsidP="005C442E">
      <w:r>
        <w:tab/>
        <w:t>3.</w:t>
      </w:r>
      <w:r>
        <w:tab/>
        <w:t xml:space="preserve">Drug Enforcement Administration (2025) Schedules of Controlled Substances: Placement of Seven Specific Fentanyl-Related Substances in Schedule I, Final Rule, 90 Fed. Reg. 44979 (18 Sept. 2025) (noting OLC conclusion regarding sufficiency of HHS two-part test).  </w:t>
      </w:r>
    </w:p>
    <w:p w14:paraId="67757E45" w14:textId="025E49A1" w:rsidR="007F0762" w:rsidRDefault="005C442E">
      <w:r>
        <w:tab/>
        <w:t>4.</w:t>
      </w:r>
      <w:r>
        <w:tab/>
        <w:t>Drug Enforcement Administration (2025) Schedules of Controlled Substances: Temporary Placement of Ethyleneoxynitazene, Methylenedioxynitazene, 5-Methyl Etodesnitazene, N-Desethyl Etonitazene, N-Desethyl Protonitazene, N,N-Dimethylamino Etonitazene, and N-Pyrrolidino Isotonitazene in Schedule I, Temporary Scheduling Order, 90 Fed. Reg. 48259, 48261 n.13 (15 Oct. 2025</w:t>
      </w:r>
      <w:r w:rsidR="00141C7E">
        <w:t>).</w:t>
      </w:r>
    </w:p>
    <w:sectPr w:rsidR="007F07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762"/>
    <w:rsid w:val="0009106F"/>
    <w:rsid w:val="00141C7E"/>
    <w:rsid w:val="0023280F"/>
    <w:rsid w:val="00253F8E"/>
    <w:rsid w:val="00254067"/>
    <w:rsid w:val="00260BAF"/>
    <w:rsid w:val="004C1C7F"/>
    <w:rsid w:val="005C442E"/>
    <w:rsid w:val="0071084F"/>
    <w:rsid w:val="007F0762"/>
    <w:rsid w:val="009A7A7E"/>
    <w:rsid w:val="00D848F2"/>
    <w:rsid w:val="00E66EEC"/>
    <w:rsid w:val="00F23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659168"/>
  <w15:chartTrackingRefBased/>
  <w15:docId w15:val="{FD373D8C-B3DE-EF46-873A-ED5EBB46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07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07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07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07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07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07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07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07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07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7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07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07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07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07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07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07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07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0762"/>
    <w:rPr>
      <w:rFonts w:eastAsiaTheme="majorEastAsia" w:cstheme="majorBidi"/>
      <w:color w:val="272727" w:themeColor="text1" w:themeTint="D8"/>
    </w:rPr>
  </w:style>
  <w:style w:type="paragraph" w:styleId="Title">
    <w:name w:val="Title"/>
    <w:basedOn w:val="Normal"/>
    <w:next w:val="Normal"/>
    <w:link w:val="TitleChar"/>
    <w:uiPriority w:val="10"/>
    <w:qFormat/>
    <w:rsid w:val="007F07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07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07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07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0762"/>
    <w:pPr>
      <w:spacing w:before="160"/>
      <w:jc w:val="center"/>
    </w:pPr>
    <w:rPr>
      <w:i/>
      <w:iCs/>
      <w:color w:val="404040" w:themeColor="text1" w:themeTint="BF"/>
    </w:rPr>
  </w:style>
  <w:style w:type="character" w:customStyle="1" w:styleId="QuoteChar">
    <w:name w:val="Quote Char"/>
    <w:basedOn w:val="DefaultParagraphFont"/>
    <w:link w:val="Quote"/>
    <w:uiPriority w:val="29"/>
    <w:rsid w:val="007F0762"/>
    <w:rPr>
      <w:i/>
      <w:iCs/>
      <w:color w:val="404040" w:themeColor="text1" w:themeTint="BF"/>
    </w:rPr>
  </w:style>
  <w:style w:type="paragraph" w:styleId="ListParagraph">
    <w:name w:val="List Paragraph"/>
    <w:basedOn w:val="Normal"/>
    <w:uiPriority w:val="34"/>
    <w:qFormat/>
    <w:rsid w:val="007F0762"/>
    <w:pPr>
      <w:ind w:left="720"/>
      <w:contextualSpacing/>
    </w:pPr>
  </w:style>
  <w:style w:type="character" w:styleId="IntenseEmphasis">
    <w:name w:val="Intense Emphasis"/>
    <w:basedOn w:val="DefaultParagraphFont"/>
    <w:uiPriority w:val="21"/>
    <w:qFormat/>
    <w:rsid w:val="007F0762"/>
    <w:rPr>
      <w:i/>
      <w:iCs/>
      <w:color w:val="0F4761" w:themeColor="accent1" w:themeShade="BF"/>
    </w:rPr>
  </w:style>
  <w:style w:type="paragraph" w:styleId="IntenseQuote">
    <w:name w:val="Intense Quote"/>
    <w:basedOn w:val="Normal"/>
    <w:next w:val="Normal"/>
    <w:link w:val="IntenseQuoteChar"/>
    <w:uiPriority w:val="30"/>
    <w:qFormat/>
    <w:rsid w:val="007F07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0762"/>
    <w:rPr>
      <w:i/>
      <w:iCs/>
      <w:color w:val="0F4761" w:themeColor="accent1" w:themeShade="BF"/>
    </w:rPr>
  </w:style>
  <w:style w:type="character" w:styleId="IntenseReference">
    <w:name w:val="Intense Reference"/>
    <w:basedOn w:val="DefaultParagraphFont"/>
    <w:uiPriority w:val="32"/>
    <w:qFormat/>
    <w:rsid w:val="007F07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1257</Words>
  <Characters>7169</Characters>
  <Application>Microsoft Office Word</Application>
  <DocSecurity>0</DocSecurity>
  <Lines>59</Lines>
  <Paragraphs>16</Paragraphs>
  <ScaleCrop>false</ScaleCrop>
  <Company/>
  <LinksUpToDate>false</LinksUpToDate>
  <CharactersWithSpaces>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cp:revision>
  <dcterms:created xsi:type="dcterms:W3CDTF">2026-02-16T23:28:00Z</dcterms:created>
  <dcterms:modified xsi:type="dcterms:W3CDTF">2026-02-16T23:28:00Z</dcterms:modified>
</cp:coreProperties>
</file>